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5CC" w14:textId="432AAFBD" w:rsidR="0072613E" w:rsidRPr="00CE3B1D" w:rsidRDefault="0072613E" w:rsidP="0072613E">
      <w:pPr>
        <w:jc w:val="left"/>
        <w:rPr>
          <w:rFonts w:cs="Calibri"/>
          <w:b/>
          <w:bCs/>
          <w:sz w:val="21"/>
          <w:szCs w:val="21"/>
          <w:lang w:eastAsia="es-ES"/>
        </w:rPr>
      </w:pPr>
      <w:r w:rsidRPr="00CE3B1D">
        <w:rPr>
          <w:rFonts w:cs="Calibri"/>
          <w:b/>
          <w:bCs/>
          <w:sz w:val="21"/>
          <w:szCs w:val="21"/>
        </w:rPr>
        <w:t>L.C. RICARDO VERDUGO LLANAS.</w:t>
      </w:r>
    </w:p>
    <w:p w14:paraId="5C66B0AA" w14:textId="77777777" w:rsidR="0072613E" w:rsidRPr="00CE3B1D" w:rsidRDefault="0072613E" w:rsidP="0072613E">
      <w:pPr>
        <w:pStyle w:val="Ttulo3"/>
        <w:textAlignment w:val="baseline"/>
        <w:rPr>
          <w:rFonts w:ascii="Century Gothic" w:hAnsi="Century Gothic" w:cs="Calibri"/>
          <w:b/>
          <w:bCs/>
          <w:color w:val="auto"/>
          <w:sz w:val="21"/>
          <w:szCs w:val="21"/>
        </w:rPr>
      </w:pPr>
      <w:r w:rsidRPr="00CE3B1D">
        <w:rPr>
          <w:rFonts w:ascii="Century Gothic" w:hAnsi="Century Gothic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6A945461" w14:textId="77777777" w:rsidR="0072613E" w:rsidRPr="00CE3B1D" w:rsidRDefault="0072613E" w:rsidP="0072613E">
      <w:pPr>
        <w:pStyle w:val="Ttulo3"/>
        <w:textAlignment w:val="baseline"/>
        <w:rPr>
          <w:rFonts w:ascii="Century Gothic" w:hAnsi="Century Gothic" w:cs="Calibri"/>
          <w:b/>
          <w:color w:val="auto"/>
          <w:sz w:val="21"/>
          <w:szCs w:val="21"/>
        </w:rPr>
      </w:pPr>
      <w:r w:rsidRPr="00CE3B1D">
        <w:rPr>
          <w:rFonts w:ascii="Century Gothic" w:hAnsi="Century Gothic" w:cs="Calibri"/>
          <w:b/>
          <w:bCs/>
          <w:color w:val="auto"/>
          <w:sz w:val="21"/>
          <w:szCs w:val="21"/>
        </w:rPr>
        <w:t>DE BAJA CALIFORNIA SUR.</w:t>
      </w:r>
      <w:r w:rsidRPr="00CE3B1D">
        <w:rPr>
          <w:rFonts w:ascii="Century Gothic" w:hAnsi="Century Gothic" w:cs="Calibri"/>
          <w:b/>
          <w:bCs/>
          <w:color w:val="auto"/>
          <w:sz w:val="21"/>
          <w:szCs w:val="21"/>
        </w:rPr>
        <w:tab/>
      </w:r>
    </w:p>
    <w:p w14:paraId="5775F949" w14:textId="23C18FF9" w:rsidR="0072613E" w:rsidRPr="00CE3B1D" w:rsidRDefault="0072613E" w:rsidP="002E1252">
      <w:pPr>
        <w:pStyle w:val="Ttulo5"/>
        <w:tabs>
          <w:tab w:val="left" w:pos="6210"/>
        </w:tabs>
        <w:ind w:left="0"/>
        <w:rPr>
          <w:rFonts w:ascii="Century Gothic" w:hAnsi="Century Gothic" w:cs="Calibri"/>
          <w:sz w:val="21"/>
          <w:szCs w:val="21"/>
        </w:rPr>
      </w:pPr>
      <w:r w:rsidRPr="00CE3B1D">
        <w:rPr>
          <w:rFonts w:ascii="Century Gothic" w:hAnsi="Century Gothic" w:cs="Calibri"/>
          <w:sz w:val="21"/>
          <w:szCs w:val="21"/>
        </w:rPr>
        <w:t>P R E S E N T E.</w:t>
      </w:r>
      <w:r w:rsidR="002E1252" w:rsidRPr="00CE3B1D">
        <w:rPr>
          <w:rFonts w:ascii="Century Gothic" w:hAnsi="Century Gothic" w:cs="Calibri"/>
          <w:sz w:val="21"/>
          <w:szCs w:val="21"/>
        </w:rPr>
        <w:tab/>
      </w:r>
    </w:p>
    <w:p w14:paraId="63E93C82" w14:textId="77777777" w:rsidR="0072613E" w:rsidRPr="00CE3B1D" w:rsidRDefault="0072613E" w:rsidP="0072613E">
      <w:pPr>
        <w:pStyle w:val="ROMANOS"/>
        <w:spacing w:after="0" w:line="240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</w:p>
    <w:p w14:paraId="2EEE8044" w14:textId="5CD36FAE" w:rsidR="0072613E" w:rsidRPr="00CE3B1D" w:rsidRDefault="0072613E" w:rsidP="0072613E">
      <w:pPr>
        <w:spacing w:line="276" w:lineRule="auto"/>
        <w:ind w:firstLine="708"/>
        <w:rPr>
          <w:rFonts w:cs="Calibri"/>
          <w:sz w:val="21"/>
          <w:szCs w:val="21"/>
        </w:rPr>
      </w:pPr>
      <w:r w:rsidRPr="00CE3B1D">
        <w:rPr>
          <w:rFonts w:cs="Calibri"/>
          <w:sz w:val="21"/>
          <w:szCs w:val="21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 w:rsidRPr="00CE3B1D">
        <w:rPr>
          <w:rFonts w:cs="Calibri"/>
          <w:sz w:val="21"/>
          <w:szCs w:val="21"/>
        </w:rPr>
        <w:t xml:space="preserve">de </w:t>
      </w:r>
      <w:r w:rsidR="00501A87" w:rsidRPr="00CE3B1D">
        <w:rPr>
          <w:rFonts w:cs="Calibri"/>
          <w:sz w:val="21"/>
          <w:szCs w:val="21"/>
        </w:rPr>
        <w:t>Pasivos Co</w:t>
      </w:r>
      <w:r w:rsidR="00A07AF3" w:rsidRPr="00CE3B1D">
        <w:rPr>
          <w:rFonts w:cs="Calibri"/>
          <w:sz w:val="21"/>
          <w:szCs w:val="21"/>
        </w:rPr>
        <w:t>ntingente</w:t>
      </w:r>
      <w:r w:rsidRPr="00CE3B1D">
        <w:rPr>
          <w:rFonts w:cs="Calibri"/>
          <w:sz w:val="21"/>
          <w:szCs w:val="21"/>
        </w:rPr>
        <w:t xml:space="preserve">”. </w:t>
      </w:r>
    </w:p>
    <w:p w14:paraId="0EBB70B2" w14:textId="77777777" w:rsidR="0072613E" w:rsidRPr="00CE3B1D" w:rsidRDefault="0072613E" w:rsidP="00A73E11">
      <w:pPr>
        <w:ind w:firstLine="708"/>
        <w:rPr>
          <w:rFonts w:cs="Calibri"/>
          <w:sz w:val="21"/>
          <w:szCs w:val="21"/>
        </w:rPr>
      </w:pPr>
    </w:p>
    <w:p w14:paraId="47DF14C9" w14:textId="6F0EA10E" w:rsidR="0072613E" w:rsidRPr="00CE3B1D" w:rsidRDefault="0072613E" w:rsidP="00997284">
      <w:pPr>
        <w:pStyle w:val="Prrafodelista"/>
        <w:numPr>
          <w:ilvl w:val="0"/>
          <w:numId w:val="20"/>
        </w:numPr>
        <w:spacing w:line="276" w:lineRule="auto"/>
        <w:rPr>
          <w:rFonts w:cs="Calibri"/>
          <w:b/>
          <w:sz w:val="21"/>
          <w:szCs w:val="21"/>
        </w:rPr>
      </w:pPr>
      <w:r w:rsidRPr="00CE3B1D">
        <w:rPr>
          <w:rFonts w:cs="Calibri"/>
          <w:b/>
          <w:sz w:val="21"/>
          <w:szCs w:val="21"/>
        </w:rPr>
        <w:t xml:space="preserve">Periodo: </w:t>
      </w:r>
      <w:r w:rsidR="002E1252" w:rsidRPr="00CE3B1D">
        <w:rPr>
          <w:rFonts w:cs="Calibri"/>
          <w:b/>
          <w:sz w:val="21"/>
          <w:szCs w:val="21"/>
        </w:rPr>
        <w:t>Septiembre</w:t>
      </w:r>
      <w:r w:rsidR="002A73C2" w:rsidRPr="00CE3B1D">
        <w:rPr>
          <w:rFonts w:cs="Calibri"/>
          <w:b/>
          <w:sz w:val="21"/>
          <w:szCs w:val="21"/>
        </w:rPr>
        <w:t xml:space="preserve"> </w:t>
      </w:r>
      <w:r w:rsidRPr="00CE3B1D">
        <w:rPr>
          <w:rFonts w:cs="Calibri"/>
          <w:b/>
          <w:sz w:val="21"/>
          <w:szCs w:val="21"/>
        </w:rPr>
        <w:t>formato 03</w:t>
      </w:r>
      <w:r w:rsidR="00501A87" w:rsidRPr="00CE3B1D">
        <w:rPr>
          <w:rFonts w:cs="Calibri"/>
          <w:b/>
          <w:sz w:val="21"/>
          <w:szCs w:val="21"/>
        </w:rPr>
        <w:t>18</w:t>
      </w:r>
      <w:r w:rsidRPr="00CE3B1D">
        <w:rPr>
          <w:rFonts w:cs="Calibri"/>
          <w:b/>
          <w:sz w:val="21"/>
          <w:szCs w:val="21"/>
        </w:rPr>
        <w:t>_</w:t>
      </w:r>
      <w:r w:rsidR="00501A87" w:rsidRPr="00CE3B1D">
        <w:rPr>
          <w:rFonts w:cs="Calibri"/>
          <w:b/>
          <w:sz w:val="21"/>
          <w:szCs w:val="21"/>
        </w:rPr>
        <w:t>IP</w:t>
      </w:r>
      <w:r w:rsidR="002A73C2" w:rsidRPr="00CE3B1D">
        <w:rPr>
          <w:rFonts w:cs="Calibri"/>
          <w:b/>
          <w:sz w:val="21"/>
          <w:szCs w:val="21"/>
        </w:rPr>
        <w:t>C</w:t>
      </w:r>
      <w:r w:rsidRPr="00CE3B1D">
        <w:rPr>
          <w:rFonts w:cs="Calibri"/>
          <w:b/>
          <w:sz w:val="21"/>
          <w:szCs w:val="21"/>
        </w:rPr>
        <w:t xml:space="preserve"> “</w:t>
      </w:r>
      <w:r w:rsidR="00501A87" w:rsidRPr="00CE3B1D">
        <w:rPr>
          <w:rFonts w:cs="Calibri"/>
          <w:b/>
          <w:sz w:val="21"/>
          <w:szCs w:val="21"/>
        </w:rPr>
        <w:t>Informe de Pasivos Contingentes</w:t>
      </w:r>
      <w:r w:rsidR="002A73C2" w:rsidRPr="00CE3B1D">
        <w:rPr>
          <w:rFonts w:cs="Calibri"/>
          <w:b/>
          <w:sz w:val="21"/>
          <w:szCs w:val="21"/>
        </w:rPr>
        <w:t>”</w:t>
      </w:r>
      <w:r w:rsidRPr="00CE3B1D">
        <w:rPr>
          <w:rFonts w:cs="Calibri"/>
          <w:b/>
          <w:sz w:val="21"/>
          <w:szCs w:val="21"/>
        </w:rPr>
        <w:t>.</w:t>
      </w:r>
    </w:p>
    <w:p w14:paraId="74AAA0B3" w14:textId="77777777" w:rsidR="0072613E" w:rsidRPr="00CE3B1D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entury Gothic" w:hAnsi="Century Gothic" w:cs="Calibri"/>
          <w:sz w:val="21"/>
          <w:szCs w:val="21"/>
        </w:rPr>
      </w:pPr>
    </w:p>
    <w:p w14:paraId="7E41C817" w14:textId="691ECF07" w:rsidR="00AC6D8C" w:rsidRPr="00CE3B1D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iCs/>
          <w:sz w:val="21"/>
          <w:szCs w:val="21"/>
        </w:rPr>
      </w:pPr>
      <w:r w:rsidRPr="00CE3B1D">
        <w:rPr>
          <w:rFonts w:ascii="Century Gothic" w:hAnsi="Century Gothic" w:cs="Calibri"/>
          <w:sz w:val="21"/>
          <w:szCs w:val="21"/>
        </w:rPr>
        <w:t>Al respecto</w:t>
      </w:r>
      <w:r w:rsidR="00D54B5B" w:rsidRPr="00CE3B1D">
        <w:rPr>
          <w:rFonts w:ascii="Century Gothic" w:hAnsi="Century Gothic" w:cs="Calibri"/>
          <w:sz w:val="21"/>
          <w:szCs w:val="21"/>
        </w:rPr>
        <w:t xml:space="preserve">, es de indicar que mensualmente </w:t>
      </w:r>
      <w:r w:rsidRPr="00CE3B1D">
        <w:rPr>
          <w:rFonts w:ascii="Century Gothic" w:hAnsi="Century Gothic" w:cs="Calibri"/>
          <w:sz w:val="21"/>
          <w:szCs w:val="21"/>
        </w:rPr>
        <w:t xml:space="preserve">se </w:t>
      </w:r>
      <w:r w:rsidR="00D54B5B" w:rsidRPr="00CE3B1D">
        <w:rPr>
          <w:rFonts w:ascii="Century Gothic" w:hAnsi="Century Gothic" w:cs="Calibri"/>
          <w:sz w:val="21"/>
          <w:szCs w:val="21"/>
        </w:rPr>
        <w:t xml:space="preserve">ha venido </w:t>
      </w:r>
      <w:r w:rsidRPr="00CE3B1D">
        <w:rPr>
          <w:rFonts w:ascii="Century Gothic" w:hAnsi="Century Gothic" w:cs="Calibri"/>
          <w:sz w:val="21"/>
          <w:szCs w:val="21"/>
        </w:rPr>
        <w:t>informa</w:t>
      </w:r>
      <w:r w:rsidR="00D54B5B" w:rsidRPr="00CE3B1D">
        <w:rPr>
          <w:rFonts w:ascii="Century Gothic" w:hAnsi="Century Gothic" w:cs="Calibri"/>
          <w:sz w:val="21"/>
          <w:szCs w:val="21"/>
        </w:rPr>
        <w:t xml:space="preserve">ndo el importe acumulado, de </w:t>
      </w:r>
      <w:r w:rsidRPr="00CE3B1D">
        <w:rPr>
          <w:rFonts w:ascii="Century Gothic" w:hAnsi="Century Gothic" w:cs="Calibri"/>
          <w:b/>
          <w:bCs/>
          <w:i/>
          <w:sz w:val="21"/>
          <w:szCs w:val="21"/>
        </w:rPr>
        <w:t>los procedimientos, controversias, juicios o asuntos litigiosos en los que el Poder Ejecutivo sea parte o tenga interés jurídico, de cualquier materia o naturaleza</w:t>
      </w:r>
      <w:r w:rsidR="00D54B5B" w:rsidRPr="00CE3B1D">
        <w:rPr>
          <w:rFonts w:ascii="Century Gothic" w:hAnsi="Century Gothic" w:cs="Calibri"/>
          <w:b/>
          <w:bCs/>
          <w:i/>
          <w:sz w:val="21"/>
          <w:szCs w:val="21"/>
        </w:rPr>
        <w:t xml:space="preserve">, </w:t>
      </w:r>
      <w:r w:rsidR="00D54B5B" w:rsidRPr="00CE3B1D">
        <w:rPr>
          <w:rFonts w:ascii="Century Gothic" w:hAnsi="Century Gothic" w:cs="Calibri"/>
          <w:iCs/>
          <w:sz w:val="21"/>
          <w:szCs w:val="21"/>
        </w:rPr>
        <w:t>presentados por las distintas dependencias del Poder Ejecutivo, a saber, la Secretaría de Educación Pública y la Secretaría General de Gobierno, por medio de la Subsecretaría de la Consejería Jurídica, siendo este un importe de $221,875,251.27 (Doscientos veintiún millones ochocientos setenta y cinco mil doscientos cincuenta y un pesos 27/100 m.n.).</w:t>
      </w:r>
    </w:p>
    <w:p w14:paraId="49FCC137" w14:textId="77777777" w:rsidR="00AC6D8C" w:rsidRPr="00CE3B1D" w:rsidRDefault="00AC6D8C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sz w:val="21"/>
          <w:szCs w:val="21"/>
        </w:rPr>
      </w:pPr>
    </w:p>
    <w:p w14:paraId="67199977" w14:textId="1DF17FEF" w:rsidR="00C536AB" w:rsidRPr="00CE3B1D" w:rsidRDefault="00D212E7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sz w:val="21"/>
          <w:szCs w:val="21"/>
        </w:rPr>
      </w:pPr>
      <w:r w:rsidRPr="00CE3B1D">
        <w:rPr>
          <w:rFonts w:ascii="Century Gothic" w:hAnsi="Century Gothic" w:cs="Calibri"/>
          <w:sz w:val="21"/>
          <w:szCs w:val="21"/>
        </w:rPr>
        <w:t xml:space="preserve">En </w:t>
      </w:r>
      <w:proofErr w:type="gramStart"/>
      <w:r w:rsidRPr="00CE3B1D">
        <w:rPr>
          <w:rFonts w:ascii="Century Gothic" w:hAnsi="Century Gothic" w:cs="Calibri"/>
          <w:sz w:val="21"/>
          <w:szCs w:val="21"/>
        </w:rPr>
        <w:t>consecuencia</w:t>
      </w:r>
      <w:proofErr w:type="gramEnd"/>
      <w:r w:rsidRPr="00CE3B1D">
        <w:rPr>
          <w:rFonts w:ascii="Century Gothic" w:hAnsi="Century Gothic" w:cs="Calibri"/>
          <w:sz w:val="21"/>
          <w:szCs w:val="21"/>
        </w:rPr>
        <w:t xml:space="preserve"> de lo anterior, se presenta </w:t>
      </w:r>
      <w:r w:rsidR="00CE3B1D" w:rsidRPr="00CE3B1D">
        <w:rPr>
          <w:rFonts w:ascii="Century Gothic" w:hAnsi="Century Gothic" w:cs="Calibri"/>
          <w:sz w:val="21"/>
          <w:szCs w:val="21"/>
        </w:rPr>
        <w:t xml:space="preserve">ante esa Auditoría Superior del Estado, </w:t>
      </w:r>
      <w:r w:rsidRPr="00CE3B1D">
        <w:rPr>
          <w:rFonts w:ascii="Century Gothic" w:hAnsi="Century Gothic" w:cs="Calibri"/>
          <w:sz w:val="21"/>
          <w:szCs w:val="21"/>
        </w:rPr>
        <w:t xml:space="preserve">el importe </w:t>
      </w:r>
      <w:r w:rsidR="00CE3B1D" w:rsidRPr="00CE3B1D">
        <w:rPr>
          <w:rFonts w:ascii="Century Gothic" w:hAnsi="Century Gothic" w:cs="Calibri"/>
          <w:sz w:val="21"/>
          <w:szCs w:val="21"/>
        </w:rPr>
        <w:t xml:space="preserve">estimado </w:t>
      </w:r>
      <w:r w:rsidRPr="00CE3B1D">
        <w:rPr>
          <w:rFonts w:ascii="Century Gothic" w:hAnsi="Century Gothic" w:cs="Calibri"/>
          <w:sz w:val="21"/>
          <w:szCs w:val="21"/>
        </w:rPr>
        <w:t>al cierre del mes de septiembre del presente 2024,</w:t>
      </w:r>
      <w:r w:rsidR="00CE3B1D" w:rsidRPr="00CE3B1D">
        <w:rPr>
          <w:rFonts w:ascii="Century Gothic" w:hAnsi="Century Gothic" w:cs="Calibri"/>
          <w:sz w:val="21"/>
          <w:szCs w:val="21"/>
        </w:rPr>
        <w:t xml:space="preserve"> que presenta actualizaciones, siendo este el</w:t>
      </w:r>
      <w:r w:rsidRPr="00CE3B1D">
        <w:rPr>
          <w:rFonts w:ascii="Century Gothic" w:hAnsi="Century Gothic" w:cs="Calibri"/>
          <w:sz w:val="21"/>
          <w:szCs w:val="21"/>
        </w:rPr>
        <w:t xml:space="preserve"> realizado por la</w:t>
      </w:r>
      <w:r w:rsidR="00AC6D8C" w:rsidRPr="00CE3B1D">
        <w:rPr>
          <w:rFonts w:ascii="Century Gothic" w:hAnsi="Century Gothic" w:cs="Calibri"/>
          <w:sz w:val="21"/>
          <w:szCs w:val="21"/>
        </w:rPr>
        <w:t xml:space="preserve"> Procuraría Fiscal de esta Secretaría de Finanzas y Administración,</w:t>
      </w:r>
      <w:r w:rsidR="00DE6C3A" w:rsidRPr="00CE3B1D">
        <w:rPr>
          <w:rFonts w:ascii="Century Gothic" w:hAnsi="Century Gothic" w:cs="Calibri"/>
          <w:sz w:val="21"/>
          <w:szCs w:val="21"/>
        </w:rPr>
        <w:t xml:space="preserve"> mediante oficio SFyA/PROFI/5898/2024, en el cual se contiene</w:t>
      </w:r>
      <w:r w:rsidRPr="00CE3B1D">
        <w:rPr>
          <w:rFonts w:ascii="Century Gothic" w:hAnsi="Century Gothic" w:cs="Calibri"/>
          <w:sz w:val="21"/>
          <w:szCs w:val="21"/>
        </w:rPr>
        <w:t xml:space="preserve"> </w:t>
      </w:r>
      <w:r w:rsidR="004D4E15" w:rsidRPr="00CE3B1D">
        <w:rPr>
          <w:rFonts w:ascii="Century Gothic" w:hAnsi="Century Gothic" w:cs="Calibri"/>
          <w:sz w:val="21"/>
          <w:szCs w:val="21"/>
        </w:rPr>
        <w:t xml:space="preserve">un </w:t>
      </w:r>
      <w:r w:rsidR="00DE6C3A" w:rsidRPr="00CE3B1D">
        <w:rPr>
          <w:rFonts w:ascii="Century Gothic" w:hAnsi="Century Gothic" w:cs="Calibri"/>
          <w:sz w:val="21"/>
          <w:szCs w:val="21"/>
        </w:rPr>
        <w:t xml:space="preserve">importe </w:t>
      </w:r>
      <w:r w:rsidRPr="00CE3B1D">
        <w:rPr>
          <w:rFonts w:ascii="Century Gothic" w:hAnsi="Century Gothic" w:cs="Calibri"/>
          <w:sz w:val="21"/>
          <w:szCs w:val="21"/>
        </w:rPr>
        <w:t xml:space="preserve">total </w:t>
      </w:r>
      <w:r w:rsidR="004D4E15" w:rsidRPr="00CE3B1D">
        <w:rPr>
          <w:rFonts w:ascii="Century Gothic" w:hAnsi="Century Gothic" w:cs="Calibri"/>
          <w:sz w:val="21"/>
          <w:szCs w:val="21"/>
        </w:rPr>
        <w:t xml:space="preserve">de </w:t>
      </w:r>
      <w:r w:rsidR="004D4E15" w:rsidRPr="00CE3B1D">
        <w:rPr>
          <w:rFonts w:ascii="Century Gothic" w:hAnsi="Century Gothic" w:cs="Calibri"/>
          <w:b/>
          <w:bCs/>
          <w:sz w:val="21"/>
          <w:szCs w:val="21"/>
        </w:rPr>
        <w:t>$2</w:t>
      </w:r>
      <w:r w:rsidR="00A73E11" w:rsidRPr="00CE3B1D">
        <w:rPr>
          <w:rFonts w:ascii="Century Gothic" w:hAnsi="Century Gothic" w:cs="Calibri"/>
          <w:b/>
          <w:bCs/>
          <w:sz w:val="21"/>
          <w:szCs w:val="21"/>
        </w:rPr>
        <w:t>1</w:t>
      </w:r>
      <w:r w:rsidR="004D4E15" w:rsidRPr="00CE3B1D">
        <w:rPr>
          <w:rFonts w:ascii="Century Gothic" w:hAnsi="Century Gothic" w:cs="Calibri"/>
          <w:b/>
          <w:bCs/>
          <w:sz w:val="21"/>
          <w:szCs w:val="21"/>
        </w:rPr>
        <w:t>,</w:t>
      </w:r>
      <w:r w:rsidRPr="00CE3B1D">
        <w:rPr>
          <w:rFonts w:ascii="Century Gothic" w:hAnsi="Century Gothic" w:cs="Calibri"/>
          <w:b/>
          <w:bCs/>
          <w:sz w:val="21"/>
          <w:szCs w:val="21"/>
        </w:rPr>
        <w:t>060</w:t>
      </w:r>
      <w:r w:rsidR="004D4E15" w:rsidRPr="00CE3B1D">
        <w:rPr>
          <w:rFonts w:ascii="Century Gothic" w:hAnsi="Century Gothic" w:cs="Calibri"/>
          <w:b/>
          <w:bCs/>
          <w:sz w:val="21"/>
          <w:szCs w:val="21"/>
        </w:rPr>
        <w:t>,</w:t>
      </w:r>
      <w:r w:rsidRPr="00CE3B1D">
        <w:rPr>
          <w:rFonts w:ascii="Century Gothic" w:hAnsi="Century Gothic" w:cs="Calibri"/>
          <w:b/>
          <w:bCs/>
          <w:sz w:val="21"/>
          <w:szCs w:val="21"/>
        </w:rPr>
        <w:t>7</w:t>
      </w:r>
      <w:r w:rsidR="00741FF3" w:rsidRPr="00CE3B1D">
        <w:rPr>
          <w:rFonts w:ascii="Century Gothic" w:hAnsi="Century Gothic" w:cs="Calibri"/>
          <w:b/>
          <w:bCs/>
          <w:sz w:val="21"/>
          <w:szCs w:val="21"/>
        </w:rPr>
        <w:t>0</w:t>
      </w:r>
      <w:r w:rsidRPr="00CE3B1D">
        <w:rPr>
          <w:rFonts w:ascii="Century Gothic" w:hAnsi="Century Gothic" w:cs="Calibri"/>
          <w:b/>
          <w:bCs/>
          <w:sz w:val="21"/>
          <w:szCs w:val="21"/>
        </w:rPr>
        <w:t>5</w:t>
      </w:r>
      <w:r w:rsidR="004D4E15" w:rsidRPr="00CE3B1D">
        <w:rPr>
          <w:rFonts w:ascii="Century Gothic" w:hAnsi="Century Gothic" w:cs="Calibri"/>
          <w:b/>
          <w:bCs/>
          <w:sz w:val="21"/>
          <w:szCs w:val="21"/>
        </w:rPr>
        <w:t>.</w:t>
      </w:r>
      <w:r w:rsidR="00DE6C3A" w:rsidRPr="00CE3B1D">
        <w:rPr>
          <w:rFonts w:ascii="Century Gothic" w:hAnsi="Century Gothic" w:cs="Calibri"/>
          <w:b/>
          <w:bCs/>
          <w:sz w:val="21"/>
          <w:szCs w:val="21"/>
        </w:rPr>
        <w:t>12</w:t>
      </w:r>
      <w:r w:rsidR="004D4E15" w:rsidRPr="00CE3B1D">
        <w:rPr>
          <w:rFonts w:ascii="Century Gothic" w:hAnsi="Century Gothic" w:cs="Calibri"/>
          <w:sz w:val="21"/>
          <w:szCs w:val="21"/>
        </w:rPr>
        <w:t xml:space="preserve"> (</w:t>
      </w:r>
      <w:r w:rsidR="00DE6C3A" w:rsidRPr="00CE3B1D">
        <w:rPr>
          <w:rFonts w:ascii="Century Gothic" w:hAnsi="Century Gothic" w:cs="Calibri"/>
          <w:sz w:val="21"/>
          <w:szCs w:val="21"/>
        </w:rPr>
        <w:t xml:space="preserve">Veintiún millones sesenta mil setecientos cinco </w:t>
      </w:r>
      <w:r w:rsidR="004D4E15" w:rsidRPr="00CE3B1D">
        <w:rPr>
          <w:rFonts w:ascii="Century Gothic" w:hAnsi="Century Gothic" w:cs="Calibri"/>
          <w:sz w:val="21"/>
          <w:szCs w:val="21"/>
        </w:rPr>
        <w:t xml:space="preserve">pesos </w:t>
      </w:r>
      <w:r w:rsidR="00DE6C3A" w:rsidRPr="00CE3B1D">
        <w:rPr>
          <w:rFonts w:ascii="Century Gothic" w:hAnsi="Century Gothic" w:cs="Calibri"/>
          <w:sz w:val="21"/>
          <w:szCs w:val="21"/>
        </w:rPr>
        <w:t>12</w:t>
      </w:r>
      <w:r w:rsidR="004D4E15" w:rsidRPr="00CE3B1D">
        <w:rPr>
          <w:rFonts w:ascii="Century Gothic" w:hAnsi="Century Gothic" w:cs="Calibri"/>
          <w:sz w:val="21"/>
          <w:szCs w:val="21"/>
        </w:rPr>
        <w:t>/100 m.n.)</w:t>
      </w:r>
      <w:r w:rsidR="00B77EA1" w:rsidRPr="00CE3B1D">
        <w:rPr>
          <w:rFonts w:ascii="Century Gothic" w:hAnsi="Century Gothic" w:cs="Calibri"/>
          <w:sz w:val="21"/>
          <w:szCs w:val="21"/>
        </w:rPr>
        <w:t xml:space="preserve">, de acuerdo al siguiente detalle: </w:t>
      </w:r>
    </w:p>
    <w:tbl>
      <w:tblPr>
        <w:tblW w:w="7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535"/>
        <w:gridCol w:w="2835"/>
        <w:gridCol w:w="6"/>
      </w:tblGrid>
      <w:tr w:rsidR="00D212E7" w:rsidRPr="00CE3B1D" w14:paraId="4F9B4AA9" w14:textId="77777777" w:rsidTr="00CE3B1D">
        <w:trPr>
          <w:trHeight w:val="315"/>
          <w:jc w:val="center"/>
        </w:trPr>
        <w:tc>
          <w:tcPr>
            <w:tcW w:w="7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8DEB" w14:textId="77777777" w:rsidR="00D212E7" w:rsidRPr="00CE3B1D" w:rsidRDefault="00D212E7" w:rsidP="00D212E7">
            <w:pPr>
              <w:jc w:val="center"/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  <w:t>Procuraduría Fiscal</w:t>
            </w:r>
          </w:p>
        </w:tc>
      </w:tr>
      <w:tr w:rsidR="00D212E7" w:rsidRPr="00CE3B1D" w14:paraId="7C7BBFDE" w14:textId="77777777" w:rsidTr="00CE3B1D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0A84" w14:textId="77777777" w:rsidR="00D212E7" w:rsidRPr="00CE3B1D" w:rsidRDefault="00D212E7" w:rsidP="00D54B5B">
            <w:pPr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>Tipo de Procedimiento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2A9D" w14:textId="1513BDC0" w:rsidR="00D212E7" w:rsidRPr="00CE3B1D" w:rsidRDefault="00CE3B1D" w:rsidP="00D212E7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 xml:space="preserve">                                        </w:t>
            </w:r>
            <w:r w:rsidR="00D212E7"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>Importe</w:t>
            </w:r>
          </w:p>
        </w:tc>
      </w:tr>
      <w:tr w:rsidR="00D212E7" w:rsidRPr="00CE3B1D" w14:paraId="73635C18" w14:textId="77777777" w:rsidTr="00CE3B1D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AB26" w14:textId="77777777" w:rsidR="00D212E7" w:rsidRPr="00CE3B1D" w:rsidRDefault="00D212E7" w:rsidP="00D212E7">
            <w:pPr>
              <w:jc w:val="lef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>LABORAL SSPE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A240" w14:textId="5BC7F612" w:rsidR="00D212E7" w:rsidRPr="00CE3B1D" w:rsidRDefault="00D212E7" w:rsidP="00DE6C3A">
            <w:pPr>
              <w:ind w:left="194" w:hanging="194"/>
              <w:jc w:val="righ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 xml:space="preserve"> $3,991,508.15 </w:t>
            </w:r>
          </w:p>
        </w:tc>
      </w:tr>
      <w:tr w:rsidR="00D212E7" w:rsidRPr="00CE3B1D" w14:paraId="6AF77CBA" w14:textId="77777777" w:rsidTr="00CE3B1D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5D2" w14:textId="77777777" w:rsidR="00D212E7" w:rsidRPr="00CE3B1D" w:rsidRDefault="00D212E7" w:rsidP="00D212E7">
            <w:pPr>
              <w:jc w:val="lef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>LABORAL SEP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21ED" w14:textId="31CD0FE3" w:rsidR="00D212E7" w:rsidRPr="00CE3B1D" w:rsidRDefault="00D212E7" w:rsidP="00DE6C3A">
            <w:pPr>
              <w:jc w:val="righ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 xml:space="preserve"> $9,929,949.64 </w:t>
            </w:r>
          </w:p>
        </w:tc>
      </w:tr>
      <w:tr w:rsidR="00D212E7" w:rsidRPr="00CE3B1D" w14:paraId="0BDE8164" w14:textId="77777777" w:rsidTr="00CE3B1D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E0AF" w14:textId="77777777" w:rsidR="00D212E7" w:rsidRPr="00CE3B1D" w:rsidRDefault="00D212E7" w:rsidP="00D212E7">
            <w:pPr>
              <w:jc w:val="lef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>ORDINARIO CIVIL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FD1" w14:textId="19CD29F6" w:rsidR="00D212E7" w:rsidRPr="00CE3B1D" w:rsidRDefault="00D212E7" w:rsidP="00DE6C3A">
            <w:pPr>
              <w:jc w:val="righ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  <w:t xml:space="preserve"> $7,139,247.33 </w:t>
            </w:r>
          </w:p>
        </w:tc>
      </w:tr>
      <w:tr w:rsidR="00D212E7" w:rsidRPr="00CE3B1D" w14:paraId="0389CC87" w14:textId="77777777" w:rsidTr="00CE3B1D">
        <w:trPr>
          <w:trHeight w:val="7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9259" w14:textId="77777777" w:rsidR="00D212E7" w:rsidRPr="00CE3B1D" w:rsidRDefault="00D212E7" w:rsidP="00D212E7">
            <w:pPr>
              <w:jc w:val="left"/>
              <w:rPr>
                <w:rFonts w:eastAsia="Times New Roman" w:cs="Calibri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42F0" w14:textId="77777777" w:rsidR="00D212E7" w:rsidRPr="00CE3B1D" w:rsidRDefault="00D212E7" w:rsidP="00DE6C3A">
            <w:pPr>
              <w:jc w:val="right"/>
              <w:rPr>
                <w:rFonts w:eastAsia="Times New Roman" w:cs="Times New Roman"/>
                <w:sz w:val="21"/>
                <w:szCs w:val="21"/>
                <w:lang w:eastAsia="es-MX"/>
              </w:rPr>
            </w:pPr>
          </w:p>
        </w:tc>
      </w:tr>
      <w:tr w:rsidR="00D212E7" w:rsidRPr="00CE3B1D" w14:paraId="7B36EECA" w14:textId="77777777" w:rsidTr="00CE3B1D">
        <w:trPr>
          <w:gridAfter w:val="1"/>
          <w:wAfter w:w="6" w:type="dxa"/>
          <w:trHeight w:val="72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781AA1" w14:textId="77777777" w:rsidR="00D212E7" w:rsidRPr="00CE3B1D" w:rsidRDefault="00D212E7" w:rsidP="00DE6C3A">
            <w:pPr>
              <w:jc w:val="right"/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  <w:t>Importe estimado de Pasivos Contingentes: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26630" w14:textId="44BDBB2D" w:rsidR="00D212E7" w:rsidRPr="00CE3B1D" w:rsidRDefault="00D212E7" w:rsidP="00DE6C3A">
            <w:pPr>
              <w:jc w:val="right"/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CE3B1D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MX"/>
              </w:rPr>
              <w:t xml:space="preserve"> $ 21,060,705.12 </w:t>
            </w:r>
          </w:p>
        </w:tc>
      </w:tr>
    </w:tbl>
    <w:p w14:paraId="029F93ED" w14:textId="77777777" w:rsidR="00D212E7" w:rsidRPr="00CE3B1D" w:rsidRDefault="00D212E7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sz w:val="21"/>
          <w:szCs w:val="21"/>
        </w:rPr>
      </w:pPr>
    </w:p>
    <w:p w14:paraId="79160C21" w14:textId="5DDC48F2" w:rsidR="004D4E15" w:rsidRPr="00CE3B1D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sz w:val="21"/>
          <w:szCs w:val="21"/>
        </w:rPr>
      </w:pPr>
    </w:p>
    <w:p w14:paraId="75C101E0" w14:textId="360C5742" w:rsidR="000145A2" w:rsidRPr="00CE3B1D" w:rsidRDefault="000145A2" w:rsidP="000145A2">
      <w:pPr>
        <w:pStyle w:val="ROMANOS"/>
        <w:spacing w:after="0" w:line="240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  <w:r w:rsidRPr="00CE3B1D">
        <w:rPr>
          <w:rFonts w:ascii="Century Gothic" w:hAnsi="Century Gothic" w:cs="Calibri"/>
          <w:bCs/>
          <w:sz w:val="21"/>
          <w:szCs w:val="21"/>
        </w:rPr>
        <w:t>Sin otro asunto en particular por el momento, aprovecho la ocasión para enviarle un cordial saludo.</w:t>
      </w:r>
    </w:p>
    <w:p w14:paraId="0871F7DF" w14:textId="77777777" w:rsidR="000145A2" w:rsidRPr="00CE3B1D" w:rsidRDefault="000145A2" w:rsidP="000145A2">
      <w:pPr>
        <w:spacing w:line="276" w:lineRule="auto"/>
        <w:rPr>
          <w:rFonts w:cs="Calibri"/>
          <w:sz w:val="21"/>
          <w:szCs w:val="21"/>
          <w:lang w:val="es-ES"/>
        </w:rPr>
      </w:pPr>
    </w:p>
    <w:p w14:paraId="62F64D63" w14:textId="77777777" w:rsidR="000145A2" w:rsidRPr="00CE3B1D" w:rsidRDefault="000145A2" w:rsidP="000145A2">
      <w:pPr>
        <w:contextualSpacing/>
        <w:jc w:val="center"/>
        <w:rPr>
          <w:rFonts w:cs="Calibri"/>
          <w:b/>
          <w:bCs/>
          <w:sz w:val="21"/>
          <w:szCs w:val="21"/>
        </w:rPr>
      </w:pPr>
      <w:r w:rsidRPr="00CE3B1D">
        <w:rPr>
          <w:rFonts w:cs="Calibri"/>
          <w:b/>
          <w:bCs/>
          <w:sz w:val="21"/>
          <w:szCs w:val="21"/>
        </w:rPr>
        <w:t>A T E N T A M E N T E.</w:t>
      </w:r>
    </w:p>
    <w:p w14:paraId="1E03C787" w14:textId="77777777" w:rsidR="000145A2" w:rsidRPr="00CE3B1D" w:rsidRDefault="000145A2" w:rsidP="000145A2">
      <w:pPr>
        <w:rPr>
          <w:rFonts w:cs="Calibri"/>
          <w:sz w:val="21"/>
          <w:szCs w:val="21"/>
        </w:rPr>
      </w:pPr>
    </w:p>
    <w:p w14:paraId="120A437D" w14:textId="77777777" w:rsidR="000145A2" w:rsidRPr="00CE3B1D" w:rsidRDefault="000145A2" w:rsidP="000145A2">
      <w:pPr>
        <w:rPr>
          <w:rFonts w:cs="Calibri"/>
          <w:sz w:val="21"/>
          <w:szCs w:val="21"/>
        </w:rPr>
      </w:pPr>
    </w:p>
    <w:p w14:paraId="2ECBC3CA" w14:textId="77777777" w:rsidR="000145A2" w:rsidRPr="00CE3B1D" w:rsidRDefault="000145A2" w:rsidP="000145A2">
      <w:pPr>
        <w:rPr>
          <w:rFonts w:cs="Calibri"/>
          <w:sz w:val="21"/>
          <w:szCs w:val="21"/>
        </w:rPr>
      </w:pPr>
    </w:p>
    <w:p w14:paraId="5A22EAC2" w14:textId="77777777" w:rsidR="000145A2" w:rsidRPr="00CE3B1D" w:rsidRDefault="000145A2" w:rsidP="000145A2">
      <w:pPr>
        <w:rPr>
          <w:rFonts w:cs="Calibri"/>
          <w:sz w:val="21"/>
          <w:szCs w:val="21"/>
        </w:rPr>
      </w:pPr>
    </w:p>
    <w:p w14:paraId="0894EE2B" w14:textId="77777777" w:rsidR="000145A2" w:rsidRPr="00CE3B1D" w:rsidRDefault="000145A2" w:rsidP="000145A2">
      <w:pPr>
        <w:rPr>
          <w:rFonts w:cs="Calibri"/>
          <w:sz w:val="21"/>
          <w:szCs w:val="21"/>
        </w:rPr>
      </w:pPr>
    </w:p>
    <w:p w14:paraId="5481AB5B" w14:textId="77777777" w:rsidR="000145A2" w:rsidRPr="00CE3B1D" w:rsidRDefault="000145A2" w:rsidP="000145A2">
      <w:pPr>
        <w:jc w:val="center"/>
        <w:rPr>
          <w:rFonts w:cs="Calibri"/>
          <w:b/>
          <w:sz w:val="21"/>
          <w:szCs w:val="21"/>
        </w:rPr>
      </w:pPr>
      <w:r w:rsidRPr="00CE3B1D">
        <w:rPr>
          <w:rFonts w:cs="Calibri"/>
          <w:b/>
          <w:sz w:val="21"/>
          <w:szCs w:val="21"/>
        </w:rPr>
        <w:t>MTRA. BERTHA MONTAÑO COTA.</w:t>
      </w:r>
    </w:p>
    <w:p w14:paraId="0D97A3B2" w14:textId="77777777" w:rsidR="000145A2" w:rsidRPr="00CE3B1D" w:rsidRDefault="000145A2" w:rsidP="000145A2">
      <w:pPr>
        <w:jc w:val="center"/>
        <w:rPr>
          <w:rFonts w:cs="Calibri"/>
          <w:b/>
          <w:sz w:val="21"/>
          <w:szCs w:val="21"/>
        </w:rPr>
      </w:pPr>
      <w:r w:rsidRPr="00CE3B1D">
        <w:rPr>
          <w:rFonts w:cs="Calibri"/>
          <w:b/>
          <w:sz w:val="21"/>
          <w:szCs w:val="21"/>
        </w:rPr>
        <w:t>SECRETARIA DE FINANZAS Y ADMINISTRACIÓN.</w:t>
      </w:r>
    </w:p>
    <w:p w14:paraId="0D6F8AC8" w14:textId="77777777" w:rsidR="000145A2" w:rsidRPr="002E1252" w:rsidRDefault="000145A2" w:rsidP="000145A2">
      <w:pPr>
        <w:jc w:val="center"/>
        <w:rPr>
          <w:rFonts w:cs="Calibri"/>
          <w:b/>
          <w:sz w:val="24"/>
          <w:szCs w:val="24"/>
        </w:rPr>
      </w:pPr>
    </w:p>
    <w:p w14:paraId="6BC6633F" w14:textId="768B9BE9" w:rsidR="00DE6C3A" w:rsidRPr="00CE3B1D" w:rsidRDefault="00DE6C3A" w:rsidP="00DE6C3A">
      <w:pPr>
        <w:rPr>
          <w:rFonts w:cs="Calibri"/>
          <w:sz w:val="21"/>
          <w:szCs w:val="21"/>
        </w:rPr>
      </w:pPr>
      <w:r w:rsidRPr="00CE3B1D">
        <w:rPr>
          <w:rFonts w:cs="Calibri"/>
          <w:bCs/>
          <w:sz w:val="21"/>
          <w:szCs w:val="21"/>
        </w:rPr>
        <w:t>Se adjunta copia de oficios</w:t>
      </w:r>
      <w:r w:rsidRPr="00CE3B1D">
        <w:rPr>
          <w:rFonts w:cs="Calibri"/>
          <w:b/>
          <w:sz w:val="21"/>
          <w:szCs w:val="21"/>
        </w:rPr>
        <w:t xml:space="preserve"> </w:t>
      </w:r>
      <w:r w:rsidRPr="00CE3B1D">
        <w:rPr>
          <w:rFonts w:cs="Calibri"/>
          <w:sz w:val="21"/>
          <w:szCs w:val="21"/>
        </w:rPr>
        <w:t xml:space="preserve">SFyA/SSF/DC-2090/2024, SFyA/SSF/DC-2536/2024, SFyA/SSF/DC-2539/2024 y </w:t>
      </w:r>
      <w:r w:rsidR="00BD6F20" w:rsidRPr="00CE3B1D">
        <w:rPr>
          <w:rFonts w:cs="Calibri"/>
          <w:sz w:val="21"/>
          <w:szCs w:val="21"/>
        </w:rPr>
        <w:t>SFyA/PROFI/5898/2024</w:t>
      </w:r>
      <w:r w:rsidRPr="00CE3B1D">
        <w:rPr>
          <w:rFonts w:cs="Calibri"/>
          <w:sz w:val="21"/>
          <w:szCs w:val="21"/>
        </w:rPr>
        <w:t>.</w:t>
      </w:r>
    </w:p>
    <w:p w14:paraId="0B2BC718" w14:textId="6AC39209" w:rsidR="000145A2" w:rsidRPr="002E1252" w:rsidRDefault="00DE6C3A" w:rsidP="00DE6C3A">
      <w:pPr>
        <w:rPr>
          <w:rFonts w:cs="Calibri"/>
          <w:b/>
          <w:sz w:val="24"/>
          <w:szCs w:val="24"/>
        </w:rPr>
      </w:pPr>
      <w:r>
        <w:rPr>
          <w:rFonts w:cs="Calibri"/>
        </w:rPr>
        <w:t xml:space="preserve"> </w:t>
      </w:r>
    </w:p>
    <w:p w14:paraId="74694D5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proofErr w:type="spellStart"/>
      <w:r w:rsidRPr="002E1252">
        <w:rPr>
          <w:rFonts w:cstheme="minorHAnsi"/>
          <w:b/>
          <w:bCs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bCs/>
          <w:sz w:val="18"/>
          <w:szCs w:val="18"/>
        </w:rPr>
        <w:t>. L.C. Julián Francisco Galindo Hernández,</w:t>
      </w:r>
      <w:r w:rsidRPr="002E1252">
        <w:rPr>
          <w:rFonts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proofErr w:type="spellStart"/>
      <w:r w:rsidRPr="002E1252">
        <w:rPr>
          <w:rFonts w:cstheme="minorHAnsi"/>
          <w:b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sz w:val="18"/>
          <w:szCs w:val="18"/>
        </w:rPr>
        <w:t>. L.C. Alma Gabriela Agúndez Maldonado,</w:t>
      </w:r>
      <w:r w:rsidRPr="002E1252">
        <w:rPr>
          <w:rFonts w:cstheme="minorHAnsi"/>
          <w:sz w:val="18"/>
          <w:szCs w:val="18"/>
        </w:rPr>
        <w:t xml:space="preserve"> </w:t>
      </w:r>
      <w:proofErr w:type="gramStart"/>
      <w:r w:rsidRPr="002E1252">
        <w:rPr>
          <w:rFonts w:cstheme="minorHAnsi"/>
          <w:sz w:val="18"/>
          <w:szCs w:val="18"/>
        </w:rPr>
        <w:t>Directora</w:t>
      </w:r>
      <w:proofErr w:type="gramEnd"/>
      <w:r w:rsidRPr="002E1252">
        <w:rPr>
          <w:rFonts w:cstheme="minorHAnsi"/>
          <w:sz w:val="18"/>
          <w:szCs w:val="18"/>
        </w:rPr>
        <w:t xml:space="preserve"> de Contabilidad.</w:t>
      </w:r>
    </w:p>
    <w:p w14:paraId="52D1CA8B" w14:textId="77777777" w:rsidR="000145A2" w:rsidRPr="002E1252" w:rsidRDefault="000145A2" w:rsidP="000145A2">
      <w:pPr>
        <w:rPr>
          <w:rFonts w:cstheme="minorHAnsi"/>
          <w:b/>
          <w:bCs/>
          <w:sz w:val="18"/>
          <w:szCs w:val="18"/>
        </w:rPr>
      </w:pPr>
      <w:proofErr w:type="spellStart"/>
      <w:r w:rsidRPr="002E1252">
        <w:rPr>
          <w:rFonts w:cstheme="minorHAnsi"/>
          <w:b/>
          <w:bCs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bCs/>
          <w:sz w:val="18"/>
          <w:szCs w:val="18"/>
        </w:rPr>
        <w:t>. Archivo.</w:t>
      </w:r>
    </w:p>
    <w:p w14:paraId="5554234A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sz w:val="18"/>
          <w:szCs w:val="18"/>
        </w:rPr>
        <w:t>BMC/JFGH/AGAM/JCP/KRP.</w:t>
      </w:r>
    </w:p>
    <w:sectPr w:rsidR="000145A2" w:rsidRPr="002E1252" w:rsidSect="00BE4518">
      <w:headerReference w:type="default" r:id="rId8"/>
      <w:footerReference w:type="default" r:id="rId9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E6C09" w14:textId="77777777" w:rsidR="00E037A5" w:rsidRDefault="00E037A5" w:rsidP="00C24D83">
      <w:r>
        <w:separator/>
      </w:r>
    </w:p>
  </w:endnote>
  <w:endnote w:type="continuationSeparator" w:id="0">
    <w:p w14:paraId="58CB53ED" w14:textId="77777777" w:rsidR="00E037A5" w:rsidRDefault="00E037A5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proofErr w:type="spellStart"/>
          <w:r w:rsidR="00575367">
            <w:rPr>
              <w:sz w:val="14"/>
              <w:szCs w:val="14"/>
              <w:lang w:val="en-US"/>
            </w:rPr>
            <w:t>Conm</w:t>
          </w:r>
          <w:proofErr w:type="spellEnd"/>
          <w:r w:rsidR="00575367">
            <w:rPr>
              <w:sz w:val="14"/>
              <w:szCs w:val="14"/>
              <w:lang w:val="en-US"/>
            </w:rPr>
            <w:t xml:space="preserve">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7B5E" w14:textId="77777777" w:rsidR="00E037A5" w:rsidRDefault="00E037A5" w:rsidP="00C24D83">
      <w:r>
        <w:separator/>
      </w:r>
    </w:p>
  </w:footnote>
  <w:footnote w:type="continuationSeparator" w:id="0">
    <w:p w14:paraId="028E8536" w14:textId="77777777" w:rsidR="00E037A5" w:rsidRDefault="00E037A5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6124" w14:textId="77777777" w:rsidR="002E1252" w:rsidRDefault="002E1252" w:rsidP="002E1252">
    <w:pPr>
      <w:pStyle w:val="Descripcin"/>
      <w:rPr>
        <w:noProof/>
        <w:lang w:eastAsia="es-MX"/>
      </w:rPr>
    </w:pPr>
    <w:bookmarkStart w:id="0" w:name="_Hlk155697161"/>
    <w:r>
      <w:rPr>
        <w:noProof/>
      </w:rPr>
      <w:drawing>
        <wp:anchor distT="0" distB="0" distL="114300" distR="114300" simplePos="0" relativeHeight="251659264" behindDoc="0" locked="0" layoutInCell="1" allowOverlap="1" wp14:anchorId="5067D094" wp14:editId="39B9B0EE">
          <wp:simplePos x="0" y="0"/>
          <wp:positionH relativeFrom="margin">
            <wp:posOffset>27940</wp:posOffset>
          </wp:positionH>
          <wp:positionV relativeFrom="paragraph">
            <wp:posOffset>83185</wp:posOffset>
          </wp:positionV>
          <wp:extent cx="952500" cy="621665"/>
          <wp:effectExtent l="0" t="0" r="0" b="698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9" t="14293" r="14187" b="15380"/>
                  <a:stretch/>
                </pic:blipFill>
                <pic:spPr bwMode="auto">
                  <a:xfrm>
                    <a:off x="0" y="0"/>
                    <a:ext cx="95250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FA26E" w14:textId="77777777" w:rsidR="002E1252" w:rsidRDefault="002E1252" w:rsidP="002E1252">
    <w:pPr>
      <w:pStyle w:val="Descripcin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C57B45" wp14:editId="6A16D39D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933700" cy="526415"/>
          <wp:effectExtent l="0" t="0" r="0" b="698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297" r="42535" b="30985"/>
                  <a:stretch/>
                </pic:blipFill>
                <pic:spPr bwMode="auto">
                  <a:xfrm>
                    <a:off x="0" y="0"/>
                    <a:ext cx="29337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735A5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5BD1D30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B9AB14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890C26C" w14:textId="77777777" w:rsidR="002E1252" w:rsidRPr="00A14F71" w:rsidRDefault="002E1252" w:rsidP="002E1252">
    <w:pPr>
      <w:pStyle w:val="Descripcin"/>
      <w:rPr>
        <w:rFonts w:ascii="Monotype Corsiva" w:hAnsi="Monotype Corsiva" w:cs="Arial"/>
        <w:i w:val="0"/>
        <w:iCs/>
        <w:szCs w:val="22"/>
      </w:rPr>
    </w:pPr>
    <w:r w:rsidRPr="00A14F71">
      <w:rPr>
        <w:rFonts w:ascii="Monotype Corsiva" w:hAnsi="Monotype Corsiva" w:cs="Arial"/>
        <w:i w:val="0"/>
        <w:iCs/>
        <w:sz w:val="20"/>
      </w:rPr>
      <w:t>“</w:t>
    </w:r>
    <w:r w:rsidRPr="00A14F71">
      <w:rPr>
        <w:rFonts w:ascii="Monotype Corsiva" w:hAnsi="Monotype Corsiva" w:cs="Arial"/>
        <w:i w:val="0"/>
        <w:iCs/>
        <w:szCs w:val="22"/>
      </w:rPr>
      <w:t xml:space="preserve">2024, Año </w:t>
    </w:r>
    <w:r>
      <w:rPr>
        <w:rFonts w:ascii="Monotype Corsiva" w:hAnsi="Monotype Corsiva" w:cs="Arial"/>
        <w:i w:val="0"/>
        <w:iCs/>
        <w:szCs w:val="22"/>
      </w:rPr>
      <w:t xml:space="preserve">del Cincuentenario de la Conversión de Territorio Federal </w:t>
    </w:r>
    <w:proofErr w:type="spellStart"/>
    <w:r>
      <w:rPr>
        <w:rFonts w:ascii="Monotype Corsiva" w:hAnsi="Monotype Corsiva" w:cs="Arial"/>
        <w:i w:val="0"/>
        <w:iCs/>
        <w:szCs w:val="22"/>
      </w:rPr>
      <w:t>a</w:t>
    </w:r>
    <w:proofErr w:type="spellEnd"/>
    <w:r>
      <w:rPr>
        <w:rFonts w:ascii="Monotype Corsiva" w:hAnsi="Monotype Corsiva" w:cs="Arial"/>
        <w:i w:val="0"/>
        <w:iCs/>
        <w:szCs w:val="22"/>
      </w:rPr>
      <w:t xml:space="preserve"> Estado Libre y Soberano de Baja California Sur</w:t>
    </w:r>
    <w:r w:rsidRPr="00A14F71">
      <w:rPr>
        <w:rFonts w:ascii="Monotype Corsiva" w:hAnsi="Monotype Corsiva" w:cs="Arial"/>
        <w:i w:val="0"/>
        <w:iCs/>
        <w:szCs w:val="22"/>
      </w:rPr>
      <w:t>” “2024, Año del 75 Aniversario de la Publicación del Acuerdo De Colonización del Valle de Santo Domingo”</w:t>
    </w:r>
  </w:p>
  <w:p w14:paraId="047F6ED9" w14:textId="77777777" w:rsidR="002E1252" w:rsidRPr="00C76C59" w:rsidRDefault="002E1252" w:rsidP="002E1252">
    <w:pPr>
      <w:rPr>
        <w:sz w:val="2"/>
        <w:szCs w:val="2"/>
        <w:lang w:eastAsia="es-ES"/>
      </w:rPr>
    </w:pPr>
  </w:p>
  <w:p w14:paraId="27CC247E" w14:textId="77777777" w:rsidR="002E1252" w:rsidRPr="005D1521" w:rsidRDefault="002E1252" w:rsidP="002E1252">
    <w:pPr>
      <w:pStyle w:val="Descripcin"/>
      <w:rPr>
        <w:rFonts w:ascii="Arial" w:hAnsi="Arial" w:cs="Arial"/>
        <w:i w:val="0"/>
        <w:iCs/>
        <w:sz w:val="10"/>
        <w:szCs w:val="10"/>
      </w:rPr>
    </w:pPr>
  </w:p>
  <w:p w14:paraId="5DA0CF50" w14:textId="630D7A96" w:rsidR="002E1252" w:rsidRPr="00E4076A" w:rsidRDefault="002E1252" w:rsidP="002E1252">
    <w:pPr>
      <w:pStyle w:val="Descripcin"/>
      <w:rPr>
        <w:rFonts w:ascii="Century Gothic" w:hAnsi="Century Gothic" w:cs="Arial"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 xml:space="preserve">La Paz, Baja California Sur, a </w:t>
    </w:r>
    <w:r>
      <w:rPr>
        <w:rFonts w:ascii="Century Gothic" w:hAnsi="Century Gothic" w:cs="Arial"/>
        <w:i w:val="0"/>
        <w:iCs/>
        <w:szCs w:val="22"/>
      </w:rPr>
      <w:t>22</w:t>
    </w:r>
    <w:r w:rsidRPr="00E4076A">
      <w:rPr>
        <w:rFonts w:ascii="Century Gothic" w:hAnsi="Century Gothic" w:cs="Arial"/>
        <w:i w:val="0"/>
        <w:iCs/>
        <w:szCs w:val="22"/>
      </w:rPr>
      <w:t xml:space="preserve"> de octubre 2024.</w:t>
    </w:r>
  </w:p>
  <w:p w14:paraId="7D3E0C39" w14:textId="477E1E7D" w:rsidR="002E1252" w:rsidRPr="00E4076A" w:rsidRDefault="002E1252" w:rsidP="002E1252">
    <w:pPr>
      <w:pStyle w:val="Descripcin"/>
      <w:rPr>
        <w:rFonts w:ascii="Century Gothic" w:hAnsi="Century Gothic" w:cs="Arial"/>
        <w:b/>
        <w:bCs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 xml:space="preserve">Oficio </w:t>
    </w:r>
    <w:proofErr w:type="spellStart"/>
    <w:r w:rsidRPr="00E4076A">
      <w:rPr>
        <w:rFonts w:ascii="Century Gothic" w:hAnsi="Century Gothic" w:cs="Arial"/>
        <w:i w:val="0"/>
        <w:iCs/>
        <w:szCs w:val="22"/>
      </w:rPr>
      <w:t>N°</w:t>
    </w:r>
    <w:proofErr w:type="spellEnd"/>
    <w:r w:rsidRPr="00E4076A">
      <w:rPr>
        <w:rFonts w:ascii="Century Gothic" w:hAnsi="Century Gothic" w:cs="Arial"/>
        <w:i w:val="0"/>
        <w:iCs/>
        <w:szCs w:val="22"/>
      </w:rPr>
      <w:t>:</w:t>
    </w:r>
    <w:r w:rsidRPr="00E4076A">
      <w:rPr>
        <w:rFonts w:ascii="Century Gothic" w:hAnsi="Century Gothic" w:cs="Arial"/>
        <w:b/>
        <w:bCs/>
        <w:i w:val="0"/>
        <w:iCs/>
        <w:szCs w:val="22"/>
      </w:rPr>
      <w:t xml:space="preserve"> SFyA/SSF/DC-2</w:t>
    </w:r>
    <w:r>
      <w:rPr>
        <w:rFonts w:ascii="Century Gothic" w:hAnsi="Century Gothic" w:cs="Arial"/>
        <w:b/>
        <w:bCs/>
        <w:i w:val="0"/>
        <w:iCs/>
        <w:szCs w:val="22"/>
      </w:rPr>
      <w:t>583</w:t>
    </w:r>
    <w:r w:rsidRPr="00E4076A">
      <w:rPr>
        <w:rFonts w:ascii="Century Gothic" w:hAnsi="Century Gothic" w:cs="Arial"/>
        <w:b/>
        <w:bCs/>
        <w:i w:val="0"/>
        <w:iCs/>
        <w:szCs w:val="22"/>
      </w:rPr>
      <w:t>/2024.</w:t>
    </w:r>
  </w:p>
  <w:p w14:paraId="6FB46C16" w14:textId="0F104B45" w:rsidR="000145A2" w:rsidRDefault="002E1252" w:rsidP="002E1252">
    <w:pPr>
      <w:tabs>
        <w:tab w:val="right" w:pos="9781"/>
      </w:tabs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ab/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 w:rsidR="000145A2"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6BE74EA9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2E1252">
      <w:rPr>
        <w:rFonts w:ascii="Calibri" w:hAnsi="Calibri" w:cs="Calibri"/>
        <w:b/>
        <w:bCs/>
        <w:sz w:val="21"/>
        <w:szCs w:val="21"/>
        <w:lang w:eastAsia="es-ES"/>
      </w:rPr>
      <w:t>SEPTIEMBRE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65660">
    <w:abstractNumId w:val="12"/>
  </w:num>
  <w:num w:numId="2" w16cid:durableId="722870021">
    <w:abstractNumId w:val="22"/>
  </w:num>
  <w:num w:numId="3" w16cid:durableId="538668831">
    <w:abstractNumId w:val="10"/>
  </w:num>
  <w:num w:numId="4" w16cid:durableId="1822772259">
    <w:abstractNumId w:val="16"/>
  </w:num>
  <w:num w:numId="5" w16cid:durableId="309604885">
    <w:abstractNumId w:val="18"/>
  </w:num>
  <w:num w:numId="6" w16cid:durableId="419063238">
    <w:abstractNumId w:val="0"/>
  </w:num>
  <w:num w:numId="7" w16cid:durableId="1254243076">
    <w:abstractNumId w:val="4"/>
  </w:num>
  <w:num w:numId="8" w16cid:durableId="2017490948">
    <w:abstractNumId w:val="3"/>
  </w:num>
  <w:num w:numId="9" w16cid:durableId="431710517">
    <w:abstractNumId w:val="1"/>
  </w:num>
  <w:num w:numId="10" w16cid:durableId="360857427">
    <w:abstractNumId w:val="19"/>
  </w:num>
  <w:num w:numId="11" w16cid:durableId="400719603">
    <w:abstractNumId w:val="11"/>
  </w:num>
  <w:num w:numId="12" w16cid:durableId="1263100698">
    <w:abstractNumId w:val="17"/>
  </w:num>
  <w:num w:numId="13" w16cid:durableId="1030955228">
    <w:abstractNumId w:val="21"/>
  </w:num>
  <w:num w:numId="14" w16cid:durableId="2064020469">
    <w:abstractNumId w:val="9"/>
  </w:num>
  <w:num w:numId="15" w16cid:durableId="1729717657">
    <w:abstractNumId w:val="5"/>
  </w:num>
  <w:num w:numId="16" w16cid:durableId="1417937477">
    <w:abstractNumId w:val="20"/>
  </w:num>
  <w:num w:numId="17" w16cid:durableId="1523011939">
    <w:abstractNumId w:val="13"/>
  </w:num>
  <w:num w:numId="18" w16cid:durableId="1315329805">
    <w:abstractNumId w:val="14"/>
  </w:num>
  <w:num w:numId="19" w16cid:durableId="1710377386">
    <w:abstractNumId w:val="2"/>
  </w:num>
  <w:num w:numId="20" w16cid:durableId="1712727433">
    <w:abstractNumId w:val="6"/>
  </w:num>
  <w:num w:numId="21" w16cid:durableId="1946887510">
    <w:abstractNumId w:val="23"/>
  </w:num>
  <w:num w:numId="22" w16cid:durableId="1938560526">
    <w:abstractNumId w:val="7"/>
  </w:num>
  <w:num w:numId="23" w16cid:durableId="1377435760">
    <w:abstractNumId w:val="8"/>
  </w:num>
  <w:num w:numId="24" w16cid:durableId="451706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5CB6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252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1C8B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37BEF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1FF3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0FE0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3297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95BC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55C3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C6D8C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14E95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3944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D6F20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3B1D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12E7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4B5B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E6C3A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37A5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3D64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294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2024-04-27T19:17:00Z</cp:lastPrinted>
  <dcterms:created xsi:type="dcterms:W3CDTF">2024-10-30T18:53:00Z</dcterms:created>
  <dcterms:modified xsi:type="dcterms:W3CDTF">2024-10-30T18:53:00Z</dcterms:modified>
</cp:coreProperties>
</file>