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0976" w14:textId="77777777" w:rsidR="00214357" w:rsidRPr="002B73F4" w:rsidRDefault="00A46B0B" w:rsidP="00A46B0B">
      <w:pPr>
        <w:spacing w:line="249" w:lineRule="exact"/>
        <w:ind w:left="4962" w:right="4319" w:hanging="142"/>
        <w:rPr>
          <w:rFonts w:ascii="Arial"/>
          <w:b/>
        </w:rPr>
      </w:pPr>
      <w:r>
        <w:rPr>
          <w:rFonts w:ascii="Arial"/>
          <w:b/>
        </w:rPr>
        <w:t xml:space="preserve">   </w:t>
      </w:r>
      <w:r w:rsidR="002B73F4">
        <w:rPr>
          <w:rFonts w:ascii="Arial"/>
          <w:b/>
        </w:rPr>
        <w:t>NOTAS A LOS ESTADOS FINANCIEROS</w:t>
      </w:r>
    </w:p>
    <w:p w14:paraId="5138A9E4" w14:textId="3C6ACB20" w:rsidR="00214357" w:rsidRPr="00444F1A" w:rsidRDefault="008F3B21" w:rsidP="008F3B21">
      <w:pPr>
        <w:spacing w:line="249" w:lineRule="exact"/>
        <w:ind w:right="5127"/>
        <w:jc w:val="right"/>
        <w:rPr>
          <w:rFonts w:ascii="Arial"/>
          <w:b/>
        </w:rPr>
      </w:pPr>
      <w:r>
        <w:rPr>
          <w:rFonts w:ascii="Arial"/>
          <w:b/>
        </w:rPr>
        <w:t xml:space="preserve">                 </w:t>
      </w:r>
      <w:r w:rsidR="008D5DC6">
        <w:rPr>
          <w:rFonts w:ascii="Arial"/>
          <w:b/>
        </w:rPr>
        <w:t>AL</w:t>
      </w:r>
      <w:r w:rsidR="008D5DC6">
        <w:rPr>
          <w:rFonts w:ascii="Arial"/>
          <w:b/>
          <w:spacing w:val="-1"/>
        </w:rPr>
        <w:t xml:space="preserve"> </w:t>
      </w:r>
      <w:r w:rsidR="00A15573">
        <w:rPr>
          <w:rFonts w:ascii="Arial"/>
          <w:b/>
          <w:spacing w:val="-1"/>
        </w:rPr>
        <w:t>31</w:t>
      </w:r>
      <w:r w:rsidR="008D5DC6">
        <w:rPr>
          <w:rFonts w:ascii="Arial"/>
          <w:b/>
        </w:rPr>
        <w:t xml:space="preserve"> DE </w:t>
      </w:r>
      <w:r w:rsidR="00A15573">
        <w:rPr>
          <w:rFonts w:ascii="Arial"/>
          <w:b/>
        </w:rPr>
        <w:t>MARZO</w:t>
      </w:r>
      <w:r w:rsidR="009C4FA6">
        <w:rPr>
          <w:rFonts w:ascii="Arial"/>
          <w:b/>
        </w:rPr>
        <w:t xml:space="preserve"> </w:t>
      </w:r>
      <w:r w:rsidR="008D5DC6">
        <w:rPr>
          <w:rFonts w:ascii="Arial"/>
          <w:b/>
        </w:rPr>
        <w:t>DE</w:t>
      </w:r>
      <w:r w:rsidR="008D5DC6">
        <w:rPr>
          <w:rFonts w:ascii="Arial"/>
          <w:b/>
          <w:spacing w:val="-1"/>
        </w:rPr>
        <w:t xml:space="preserve"> </w:t>
      </w:r>
      <w:r w:rsidR="008D5DC6">
        <w:rPr>
          <w:rFonts w:ascii="Arial"/>
          <w:b/>
        </w:rPr>
        <w:t>202</w:t>
      </w:r>
      <w:r w:rsidR="009C4FA6">
        <w:rPr>
          <w:rFonts w:ascii="Arial"/>
          <w:b/>
        </w:rPr>
        <w:t>3</w:t>
      </w:r>
      <w:r>
        <w:rPr>
          <w:rFonts w:ascii="Arial"/>
          <w:b/>
        </w:rPr>
        <w:t xml:space="preserve"> Y </w:t>
      </w:r>
      <w:r w:rsidR="009C4FA6">
        <w:rPr>
          <w:rFonts w:ascii="Arial"/>
          <w:b/>
        </w:rPr>
        <w:t>2022</w:t>
      </w:r>
    </w:p>
    <w:p w14:paraId="05DA683F" w14:textId="77777777" w:rsidR="00214357" w:rsidRDefault="00A46B0B" w:rsidP="00A46B0B">
      <w:pPr>
        <w:pStyle w:val="Ttulo1"/>
      </w:pPr>
      <w:r>
        <w:t xml:space="preserve">                                                                                               </w:t>
      </w:r>
      <w:r w:rsidR="008D5DC6">
        <w:t>A)</w:t>
      </w:r>
      <w:r w:rsidR="008D5DC6">
        <w:rPr>
          <w:spacing w:val="24"/>
        </w:rPr>
        <w:t xml:space="preserve"> </w:t>
      </w:r>
      <w:r w:rsidR="008D5DC6">
        <w:t>NOTAS</w:t>
      </w:r>
      <w:r w:rsidR="008D5DC6">
        <w:rPr>
          <w:spacing w:val="-1"/>
        </w:rPr>
        <w:t xml:space="preserve"> </w:t>
      </w:r>
      <w:r w:rsidR="008D5DC6">
        <w:t>DE DESGLOSE</w:t>
      </w:r>
    </w:p>
    <w:p w14:paraId="26DDF941" w14:textId="77777777" w:rsidR="00214357" w:rsidRDefault="00214357">
      <w:pPr>
        <w:pStyle w:val="Textoindependiente"/>
        <w:spacing w:before="1"/>
        <w:rPr>
          <w:rFonts w:ascii="Arial"/>
          <w:b/>
          <w:sz w:val="24"/>
        </w:rPr>
      </w:pPr>
    </w:p>
    <w:p w14:paraId="2CAFE737" w14:textId="77777777" w:rsidR="00214357" w:rsidRDefault="008D5DC6">
      <w:pPr>
        <w:tabs>
          <w:tab w:val="left" w:pos="945"/>
        </w:tabs>
        <w:spacing w:line="391" w:lineRule="auto"/>
        <w:ind w:left="580" w:right="7991"/>
        <w:rPr>
          <w:rFonts w:ascii="Arial" w:hAnsi="Arial"/>
          <w:b/>
        </w:rPr>
      </w:pPr>
      <w:r>
        <w:rPr>
          <w:rFonts w:ascii="Arial" w:hAnsi="Arial"/>
          <w:b/>
        </w:rPr>
        <w:t>I)</w:t>
      </w:r>
      <w:r>
        <w:rPr>
          <w:rFonts w:ascii="Arial" w:hAnsi="Arial"/>
          <w:b/>
        </w:rPr>
        <w:tab/>
        <w:t>NOTAS AL ESTADO DE SITUACIÓN FINANCIERA</w:t>
      </w:r>
      <w:r>
        <w:rPr>
          <w:rFonts w:ascii="Arial" w:hAnsi="Arial"/>
          <w:b/>
          <w:spacing w:val="-59"/>
        </w:rPr>
        <w:t xml:space="preserve"> </w:t>
      </w: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065358D4" w:rsidR="00214357" w:rsidRPr="005D3FB1" w:rsidRDefault="008D2448" w:rsidP="004053B0">
      <w:pPr>
        <w:pStyle w:val="Textoindependiente"/>
        <w:spacing w:before="159"/>
        <w:ind w:left="580" w:right="492"/>
      </w:pPr>
      <w:r w:rsidRPr="005D3FB1">
        <w:t xml:space="preserve">Esta presentado por el disponible en los fondos fijos, cuentas bancarias e inversiones temporales a plazo menor a tres meses. Su composición al </w:t>
      </w:r>
      <w:r w:rsidR="00A15573">
        <w:t>31</w:t>
      </w:r>
      <w:r w:rsidR="008D5DC6" w:rsidRPr="005D3FB1">
        <w:rPr>
          <w:spacing w:val="-1"/>
        </w:rPr>
        <w:t xml:space="preserve"> </w:t>
      </w:r>
      <w:r w:rsidR="008D5DC6" w:rsidRPr="005D3FB1">
        <w:t>de</w:t>
      </w:r>
      <w:r w:rsidR="008D5DC6" w:rsidRPr="005D3FB1">
        <w:rPr>
          <w:spacing w:val="-3"/>
        </w:rPr>
        <w:t xml:space="preserve"> </w:t>
      </w:r>
      <w:r w:rsidR="00A15573">
        <w:rPr>
          <w:spacing w:val="-3"/>
        </w:rPr>
        <w:t>marzo</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diciembre </w:t>
      </w:r>
      <w:proofErr w:type="gramStart"/>
      <w:r w:rsidR="00F0113E">
        <w:t xml:space="preserve">del </w:t>
      </w:r>
      <w:r w:rsidR="008D5DC6" w:rsidRPr="005D3FB1">
        <w:rPr>
          <w:spacing w:val="-1"/>
        </w:rPr>
        <w:t xml:space="preserve"> </w:t>
      </w:r>
      <w:r w:rsidR="008D5DC6" w:rsidRPr="005D3FB1">
        <w:t>202</w:t>
      </w:r>
      <w:r w:rsidR="009C4FA6">
        <w:t>2</w:t>
      </w:r>
      <w:proofErr w:type="gramEnd"/>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217EEE">
          <w:headerReference w:type="default" r:id="rId8"/>
          <w:footerReference w:type="default" r:id="rId9"/>
          <w:type w:val="continuous"/>
          <w:pgSz w:w="15840" w:h="12240" w:orient="landscape"/>
          <w:pgMar w:top="2200" w:right="941" w:bottom="902" w:left="799"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lastRenderedPageBreak/>
        <w:t>Concepto</w:t>
      </w:r>
    </w:p>
    <w:p w14:paraId="081D72D0" w14:textId="2C7E6E65" w:rsidR="00214357" w:rsidRPr="005D3FB1" w:rsidRDefault="008D5DC6">
      <w:pPr>
        <w:spacing w:before="93"/>
        <w:jc w:val="right"/>
        <w:rPr>
          <w:b/>
        </w:rPr>
      </w:pPr>
      <w:r w:rsidRPr="005D3FB1">
        <w:br w:type="column"/>
      </w:r>
      <w:r w:rsidR="00160663">
        <w:lastRenderedPageBreak/>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lastRenderedPageBreak/>
        <w:t>2022</w:t>
      </w:r>
    </w:p>
    <w:p w14:paraId="273E57DC" w14:textId="77777777" w:rsidR="00214357" w:rsidRPr="005D3FB1" w:rsidRDefault="00214357">
      <w:pPr>
        <w:sectPr w:rsidR="00214357" w:rsidRPr="005D3FB1" w:rsidSect="00217EEE">
          <w:type w:val="continuous"/>
          <w:pgSz w:w="15840" w:h="12240" w:orient="landscape"/>
          <w:pgMar w:top="2200" w:right="941"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6B4701ED" w:rsidR="00214357" w:rsidRPr="005D3FB1" w:rsidRDefault="00A15573" w:rsidP="00A15573">
            <w:pPr>
              <w:pStyle w:val="TableParagraph"/>
              <w:spacing w:line="248" w:lineRule="exact"/>
              <w:ind w:right="279"/>
              <w:jc w:val="both"/>
            </w:pPr>
            <w:r>
              <w:t xml:space="preserve">                       </w:t>
            </w:r>
            <w:r w:rsidR="00B9414B">
              <w:t xml:space="preserve"> </w:t>
            </w:r>
            <w:r w:rsidR="00F15D75">
              <w:t>6,069,503</w:t>
            </w:r>
          </w:p>
        </w:tc>
        <w:tc>
          <w:tcPr>
            <w:tcW w:w="1571" w:type="dxa"/>
          </w:tcPr>
          <w:p w14:paraId="72DE68CA" w14:textId="4237C715" w:rsidR="00214357" w:rsidRPr="001F3520" w:rsidRDefault="00A15573" w:rsidP="00B9414B">
            <w:pPr>
              <w:pStyle w:val="TableParagraph"/>
              <w:spacing w:line="247" w:lineRule="exact"/>
              <w:ind w:right="60"/>
              <w:jc w:val="center"/>
              <w:rPr>
                <w:highlight w:val="yellow"/>
              </w:rPr>
            </w:pPr>
            <w:r>
              <w:t xml:space="preserve">       4,841,471</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2E884090" w:rsidR="00214357" w:rsidRPr="005D3FB1" w:rsidRDefault="00A15573" w:rsidP="00A15573">
            <w:pPr>
              <w:pStyle w:val="TableParagraph"/>
              <w:spacing w:line="232" w:lineRule="exact"/>
              <w:ind w:right="395"/>
            </w:pPr>
            <w:r>
              <w:t>2,991,813,992</w:t>
            </w:r>
          </w:p>
        </w:tc>
        <w:tc>
          <w:tcPr>
            <w:tcW w:w="1571" w:type="dxa"/>
          </w:tcPr>
          <w:p w14:paraId="5B189B0B" w14:textId="6172C431" w:rsidR="00214357" w:rsidRPr="001F3520" w:rsidRDefault="00B9414B" w:rsidP="00A15573">
            <w:pPr>
              <w:pStyle w:val="TableParagraph"/>
              <w:spacing w:line="230" w:lineRule="exact"/>
              <w:ind w:right="60"/>
              <w:jc w:val="center"/>
              <w:rPr>
                <w:highlight w:val="yellow"/>
              </w:rPr>
            </w:pPr>
            <w:r>
              <w:t xml:space="preserve"> </w:t>
            </w:r>
            <w:r w:rsidR="00A15573">
              <w:t>2,556,919,917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78AE62D5" w:rsidR="00214357" w:rsidRPr="008C0554" w:rsidRDefault="00B9414B" w:rsidP="00A15573">
            <w:pPr>
              <w:pStyle w:val="TableParagraph"/>
              <w:tabs>
                <w:tab w:val="center" w:pos="914"/>
                <w:tab w:val="right" w:pos="2473"/>
              </w:tabs>
              <w:ind w:right="280"/>
              <w:jc w:val="left"/>
              <w:rPr>
                <w:u w:val="single"/>
              </w:rPr>
            </w:pPr>
            <w:r>
              <w:t xml:space="preserve">                ____</w:t>
            </w:r>
            <w:r w:rsidR="00B9782D" w:rsidRPr="008C0554">
              <w:rPr>
                <w:u w:val="single"/>
              </w:rPr>
              <w:t>5,391,31</w:t>
            </w:r>
            <w:r w:rsidR="00A15573">
              <w:rPr>
                <w:u w:val="single"/>
              </w:rPr>
              <w:t>4</w:t>
            </w:r>
          </w:p>
        </w:tc>
        <w:tc>
          <w:tcPr>
            <w:tcW w:w="1571" w:type="dxa"/>
          </w:tcPr>
          <w:p w14:paraId="2127BC67" w14:textId="638C881C"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9C4FA6" w:rsidRPr="008C0554">
              <w:rPr>
                <w:u w:val="single"/>
              </w:rPr>
              <w:t>5,391,31</w:t>
            </w:r>
            <w:r w:rsidR="00A15573">
              <w:rPr>
                <w:u w:val="single"/>
              </w:rPr>
              <w:t>4</w:t>
            </w:r>
          </w:p>
        </w:tc>
      </w:tr>
    </w:tbl>
    <w:p w14:paraId="453B244D" w14:textId="164A1964"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A15573">
        <w:rPr>
          <w:b/>
          <w:u w:val="single"/>
        </w:rPr>
        <w:t>3,003,274,809</w:t>
      </w:r>
      <w:r w:rsidR="0090543C" w:rsidRPr="0090543C">
        <w:rPr>
          <w:b/>
          <w:position w:val="-5"/>
        </w:rPr>
        <w:t xml:space="preserve"> </w:t>
      </w:r>
      <w:r w:rsidR="005E04A8" w:rsidRPr="0090543C">
        <w:rPr>
          <w:b/>
          <w:position w:val="-5"/>
        </w:rPr>
        <w:t xml:space="preserve"> </w:t>
      </w:r>
      <w:r w:rsidR="0090543C" w:rsidRPr="0090543C">
        <w:rPr>
          <w:b/>
          <w:position w:val="-5"/>
        </w:rPr>
        <w:t xml:space="preserve"> </w:t>
      </w:r>
      <w:r w:rsidR="00B9414B">
        <w:rPr>
          <w:b/>
          <w:position w:val="-5"/>
        </w:rPr>
        <w:t xml:space="preserve"> </w:t>
      </w:r>
      <w:r w:rsidR="009C4FA6">
        <w:rPr>
          <w:b/>
          <w:position w:val="-5"/>
        </w:rPr>
        <w:t xml:space="preserve"> </w:t>
      </w:r>
      <w:r w:rsidR="00B9414B">
        <w:rPr>
          <w:b/>
          <w:position w:val="-5"/>
        </w:rPr>
        <w:t xml:space="preserve"> </w:t>
      </w:r>
      <w:r w:rsidR="009C4FA6" w:rsidRPr="00DB3AD4">
        <w:rPr>
          <w:b/>
          <w:u w:val="single"/>
        </w:rPr>
        <w:t>$</w:t>
      </w:r>
      <w:r w:rsidR="00A15573">
        <w:rPr>
          <w:b/>
          <w:u w:val="single"/>
        </w:rPr>
        <w:t>2,567,152,702</w:t>
      </w:r>
      <w:r w:rsidR="009C4FA6" w:rsidRPr="0090543C">
        <w:rPr>
          <w:b/>
          <w:position w:val="-5"/>
        </w:rPr>
        <w:t xml:space="preserve">     </w:t>
      </w:r>
    </w:p>
    <w:p w14:paraId="08EC744B" w14:textId="77777777" w:rsidR="00214357" w:rsidRDefault="008D5DC6">
      <w:pPr>
        <w:pStyle w:val="Ttulo1"/>
        <w:numPr>
          <w:ilvl w:val="0"/>
          <w:numId w:val="1"/>
        </w:numPr>
        <w:tabs>
          <w:tab w:val="left" w:pos="985"/>
          <w:tab w:val="left" w:pos="987"/>
        </w:tabs>
        <w:spacing w:before="213"/>
        <w:ind w:left="986" w:hanging="422"/>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31315E00"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A15573">
        <w:t>31</w:t>
      </w:r>
      <w:r w:rsidR="008D5DC6" w:rsidRPr="005D3FB1">
        <w:t xml:space="preserve"> de </w:t>
      </w:r>
      <w:r w:rsidR="00A15573">
        <w:t>marzo</w:t>
      </w:r>
      <w:r w:rsidR="008D5DC6" w:rsidRPr="005D3FB1">
        <w:rPr>
          <w:spacing w:val="-1"/>
        </w:rPr>
        <w:t xml:space="preserve"> </w:t>
      </w:r>
      <w:r w:rsidR="009C4FA6">
        <w:t>de 2023</w:t>
      </w:r>
      <w:r w:rsidR="000236C5">
        <w:t xml:space="preserve"> y</w:t>
      </w:r>
      <w:r w:rsidR="00992252" w:rsidRPr="005D3FB1">
        <w:rPr>
          <w:spacing w:val="2"/>
        </w:rPr>
        <w:t xml:space="preserve"> </w:t>
      </w:r>
      <w:r w:rsidR="0095179E" w:rsidRPr="005D3FB1">
        <w:rPr>
          <w:spacing w:val="2"/>
        </w:rPr>
        <w:t>202</w:t>
      </w:r>
      <w:r w:rsidR="009C4FA6">
        <w:rPr>
          <w:spacing w:val="2"/>
        </w:rPr>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18DFCAC2"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1,703,691,731</w:t>
            </w:r>
          </w:p>
        </w:tc>
        <w:tc>
          <w:tcPr>
            <w:tcW w:w="2126" w:type="dxa"/>
            <w:gridSpan w:val="2"/>
          </w:tcPr>
          <w:p w14:paraId="66F2A88A" w14:textId="71923AFB" w:rsidR="00214357" w:rsidRPr="00FE3444" w:rsidRDefault="004E2E10">
            <w:pPr>
              <w:pStyle w:val="TableParagraph"/>
              <w:spacing w:before="4" w:line="230" w:lineRule="exact"/>
              <w:ind w:right="49"/>
              <w:rPr>
                <w:highlight w:val="yellow"/>
              </w:rPr>
            </w:pPr>
            <w:r>
              <w:rPr>
                <w:rFonts w:cs="Calibri"/>
                <w:color w:val="000000"/>
              </w:rPr>
              <w:t>1,652,719,043</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7E197C19" w:rsidR="00214357" w:rsidRPr="0092783C" w:rsidRDefault="00502A5D" w:rsidP="00A15573">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1,1</w:t>
            </w:r>
            <w:r w:rsidR="00A15573">
              <w:rPr>
                <w:rFonts w:cs="Calibri"/>
                <w:color w:val="000000"/>
              </w:rPr>
              <w:t>96</w:t>
            </w:r>
            <w:r w:rsidR="004E2E10">
              <w:rPr>
                <w:rFonts w:cs="Calibri"/>
                <w:color w:val="000000"/>
              </w:rPr>
              <w:t>,</w:t>
            </w:r>
            <w:r w:rsidR="00A15573">
              <w:rPr>
                <w:rFonts w:cs="Calibri"/>
                <w:color w:val="000000"/>
              </w:rPr>
              <w:t>977</w:t>
            </w:r>
            <w:r w:rsidR="004E2E10">
              <w:rPr>
                <w:rFonts w:cs="Calibri"/>
                <w:color w:val="000000"/>
              </w:rPr>
              <w:t>,</w:t>
            </w:r>
            <w:r w:rsidR="00A15573">
              <w:rPr>
                <w:rFonts w:cs="Calibri"/>
                <w:color w:val="000000"/>
              </w:rPr>
              <w:t>818</w:t>
            </w:r>
          </w:p>
        </w:tc>
        <w:tc>
          <w:tcPr>
            <w:tcW w:w="2126" w:type="dxa"/>
            <w:gridSpan w:val="2"/>
          </w:tcPr>
          <w:p w14:paraId="68A8B17D" w14:textId="09EAD6E6"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E32F01">
              <w:rPr>
                <w:rFonts w:cs="Calibri"/>
                <w:color w:val="000000"/>
              </w:rPr>
              <w:t>1,</w:t>
            </w:r>
            <w:r w:rsidR="004E2E10">
              <w:rPr>
                <w:rFonts w:cs="Calibri"/>
                <w:color w:val="000000"/>
              </w:rPr>
              <w:t>1</w:t>
            </w:r>
            <w:r w:rsidR="00A15573">
              <w:rPr>
                <w:rFonts w:cs="Calibri"/>
                <w:color w:val="000000"/>
              </w:rPr>
              <w:t>98</w:t>
            </w:r>
            <w:r w:rsidR="00E32F01">
              <w:rPr>
                <w:rFonts w:cs="Calibri"/>
                <w:color w:val="000000"/>
              </w:rPr>
              <w:t>,</w:t>
            </w:r>
            <w:r w:rsidR="00A15573">
              <w:rPr>
                <w:rFonts w:cs="Calibri"/>
                <w:color w:val="000000"/>
              </w:rPr>
              <w:t>434</w:t>
            </w:r>
            <w:r w:rsidR="004E2E10">
              <w:rPr>
                <w:rFonts w:cs="Calibri"/>
                <w:color w:val="000000"/>
              </w:rPr>
              <w:t>,</w:t>
            </w:r>
            <w:r w:rsidR="00A15573">
              <w:rPr>
                <w:rFonts w:cs="Calibri"/>
                <w:color w:val="000000"/>
              </w:rPr>
              <w:t>820</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7E6D78B6" w:rsidR="00214357" w:rsidRPr="00FE3444" w:rsidRDefault="009C4FA6">
            <w:pPr>
              <w:pStyle w:val="TableParagraph"/>
              <w:spacing w:before="8" w:line="227" w:lineRule="exact"/>
              <w:ind w:right="48"/>
              <w:rPr>
                <w:highlight w:val="yellow"/>
              </w:rPr>
            </w:pPr>
            <w:r w:rsidRPr="00183C06">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653108BF" w:rsidR="00214357" w:rsidRPr="00502A5D" w:rsidRDefault="00055F2F" w:rsidP="00A15573">
            <w:pPr>
              <w:pStyle w:val="TableParagraph"/>
              <w:tabs>
                <w:tab w:val="left" w:pos="530"/>
              </w:tabs>
              <w:spacing w:line="240" w:lineRule="exact"/>
              <w:rPr>
                <w:u w:val="single"/>
              </w:rPr>
            </w:pPr>
            <w:r>
              <w:rPr>
                <w:u w:val="single"/>
              </w:rPr>
              <w:t>14</w:t>
            </w:r>
            <w:r w:rsidR="00A15573">
              <w:rPr>
                <w:u w:val="single"/>
              </w:rPr>
              <w:t>1</w:t>
            </w:r>
            <w:r>
              <w:rPr>
                <w:u w:val="single"/>
              </w:rPr>
              <w:t>,</w:t>
            </w:r>
            <w:r w:rsidR="00A15573">
              <w:rPr>
                <w:u w:val="single"/>
              </w:rPr>
              <w:t>573</w:t>
            </w:r>
            <w:r>
              <w:rPr>
                <w:u w:val="single"/>
              </w:rPr>
              <w:t>,</w:t>
            </w:r>
            <w:r w:rsidR="00A15573">
              <w:rPr>
                <w:u w:val="single"/>
              </w:rPr>
              <w:t>797</w:t>
            </w:r>
          </w:p>
        </w:tc>
        <w:tc>
          <w:tcPr>
            <w:tcW w:w="2126" w:type="dxa"/>
            <w:gridSpan w:val="2"/>
          </w:tcPr>
          <w:p w14:paraId="38F1685C" w14:textId="1262C2C6" w:rsidR="00214357" w:rsidRPr="0092783C" w:rsidRDefault="00055F2F">
            <w:pPr>
              <w:pStyle w:val="TableParagraph"/>
              <w:tabs>
                <w:tab w:val="left" w:pos="622"/>
              </w:tabs>
              <w:spacing w:before="9" w:line="236" w:lineRule="exact"/>
              <w:ind w:right="48"/>
              <w:rPr>
                <w:u w:val="single"/>
              </w:rPr>
            </w:pPr>
            <w:r>
              <w:rPr>
                <w:u w:val="single"/>
              </w:rPr>
              <w:t>133,938,294</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3357E1A6" w:rsidR="00214357" w:rsidRPr="00CE726E" w:rsidRDefault="00DC121F" w:rsidP="00A15573">
            <w:pPr>
              <w:pStyle w:val="TableParagraph"/>
              <w:tabs>
                <w:tab w:val="left" w:pos="2282"/>
              </w:tabs>
              <w:spacing w:line="249" w:lineRule="exact"/>
              <w:ind w:right="142"/>
              <w:rPr>
                <w:b/>
                <w:u w:val="single"/>
              </w:rPr>
            </w:pPr>
            <w:r>
              <w:rPr>
                <w:b/>
                <w:u w:val="single"/>
              </w:rPr>
              <w:t xml:space="preserve">  </w:t>
            </w:r>
            <w:r w:rsidR="008D5DC6" w:rsidRPr="005D3FB1">
              <w:rPr>
                <w:b/>
                <w:u w:val="single"/>
              </w:rPr>
              <w:t xml:space="preserve"> </w:t>
            </w:r>
            <w:r w:rsidR="008D5DC6" w:rsidRPr="005D3FB1">
              <w:rPr>
                <w:b/>
                <w:spacing w:val="2"/>
                <w:u w:val="single"/>
              </w:rPr>
              <w:t xml:space="preserve"> </w:t>
            </w:r>
            <w:r>
              <w:rPr>
                <w:b/>
                <w:spacing w:val="2"/>
                <w:u w:val="single"/>
              </w:rPr>
              <w:t xml:space="preserve">  </w:t>
            </w:r>
            <w:r w:rsidR="008D5DC6" w:rsidRPr="005D3FB1">
              <w:rPr>
                <w:b/>
                <w:u w:val="single"/>
              </w:rPr>
              <w:t>$</w:t>
            </w:r>
            <w:r w:rsidR="00FE3444" w:rsidRPr="00E34161">
              <w:rPr>
                <w:u w:val="single"/>
              </w:rPr>
              <w:t xml:space="preserve"> </w:t>
            </w:r>
            <w:r w:rsidR="00055F2F" w:rsidRPr="00055F2F">
              <w:rPr>
                <w:b/>
                <w:u w:val="single"/>
              </w:rPr>
              <w:t>3,</w:t>
            </w:r>
            <w:r w:rsidR="00A15573">
              <w:rPr>
                <w:b/>
                <w:u w:val="single"/>
              </w:rPr>
              <w:t>123,429,606</w:t>
            </w:r>
            <w:r w:rsidR="008D5DC6" w:rsidRPr="005D3FB1">
              <w:rPr>
                <w:b/>
                <w:spacing w:val="-2"/>
                <w:u w:val="single"/>
              </w:rPr>
              <w:t xml:space="preserve"> </w:t>
            </w:r>
            <w:r w:rsidR="0090543C">
              <w:rPr>
                <w:b/>
                <w:spacing w:val="-2"/>
                <w:u w:val="single"/>
              </w:rPr>
              <w:t xml:space="preserve">   </w:t>
            </w:r>
          </w:p>
        </w:tc>
        <w:tc>
          <w:tcPr>
            <w:tcW w:w="1984" w:type="dxa"/>
          </w:tcPr>
          <w:p w14:paraId="29054EBB" w14:textId="730A1E05"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055F2F">
              <w:rPr>
                <w:b/>
                <w:u w:val="single"/>
              </w:rPr>
              <w:t>3,0</w:t>
            </w:r>
            <w:r w:rsidR="00A15573">
              <w:rPr>
                <w:b/>
                <w:u w:val="single"/>
              </w:rPr>
              <w:t>66</w:t>
            </w:r>
            <w:r w:rsidR="00055F2F">
              <w:rPr>
                <w:b/>
                <w:u w:val="single"/>
              </w:rPr>
              <w:t>,</w:t>
            </w:r>
            <w:r w:rsidR="00A15573">
              <w:rPr>
                <w:b/>
                <w:u w:val="single"/>
              </w:rPr>
              <w:t>278,417</w:t>
            </w:r>
            <w:r w:rsidRPr="005D3FB1">
              <w:rPr>
                <w:b/>
                <w:spacing w:val="-2"/>
                <w:u w:val="single"/>
              </w:rPr>
              <w:t xml:space="preserve"> </w:t>
            </w:r>
            <w:r>
              <w:rPr>
                <w:b/>
                <w:spacing w:val="-2"/>
                <w:u w:val="single"/>
              </w:rPr>
              <w:t xml:space="preserve">   </w:t>
            </w:r>
          </w:p>
        </w:tc>
      </w:tr>
    </w:tbl>
    <w:p w14:paraId="5990791D" w14:textId="338EE06A" w:rsidR="00214357" w:rsidRDefault="00214357">
      <w:pPr>
        <w:spacing w:line="249" w:lineRule="exact"/>
        <w:rPr>
          <w:rFonts w:ascii="Arial"/>
        </w:rPr>
        <w:sectPr w:rsidR="00214357" w:rsidSect="00217EEE">
          <w:type w:val="continuous"/>
          <w:pgSz w:w="15840" w:h="12240" w:orient="landscape"/>
          <w:pgMar w:top="2200" w:right="941" w:bottom="902" w:left="799" w:header="567" w:footer="720" w:gutter="0"/>
          <w:cols w:space="720"/>
        </w:sectPr>
      </w:pPr>
    </w:p>
    <w:p w14:paraId="4098BEE7" w14:textId="512E9183" w:rsidR="00444F1A" w:rsidRDefault="00444F1A" w:rsidP="00956474">
      <w:pPr>
        <w:pStyle w:val="Textoindependiente"/>
        <w:spacing w:before="94"/>
        <w:jc w:val="both"/>
      </w:pPr>
    </w:p>
    <w:p w14:paraId="3EE068B4" w14:textId="77777777" w:rsidR="00444F1A" w:rsidRPr="005D3FB1" w:rsidRDefault="008D5DC6" w:rsidP="005D3FB1">
      <w:pPr>
        <w:pStyle w:val="Textoindependiente"/>
        <w:spacing w:before="94"/>
        <w:ind w:left="277"/>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0D755ABF"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31</w:t>
      </w:r>
      <w:r w:rsidR="008A05D0">
        <w:t xml:space="preserve"> de </w:t>
      </w:r>
      <w:r w:rsidR="00A15573">
        <w:t>marzo</w:t>
      </w:r>
      <w:r w:rsidRPr="005D3FB1">
        <w:t xml:space="preserve"> de 202</w:t>
      </w:r>
      <w:r w:rsidR="009C4FA6">
        <w:t>3</w:t>
      </w:r>
      <w:r w:rsidRPr="005D3FB1">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3CB205E3" w:rsidR="009C4FA6" w:rsidRPr="004B2FD5" w:rsidRDefault="009C4FA6" w:rsidP="00A15573">
            <w:pPr>
              <w:pStyle w:val="TableParagraph"/>
              <w:spacing w:line="234" w:lineRule="exact"/>
              <w:ind w:right="195"/>
              <w:rPr>
                <w:lang w:val="es-MX"/>
              </w:rPr>
            </w:pPr>
            <w:r>
              <w:rPr>
                <w:lang w:val="es-MX"/>
              </w:rPr>
              <w:t>1,</w:t>
            </w:r>
            <w:r w:rsidR="00A15573">
              <w:rPr>
                <w:lang w:val="es-MX"/>
              </w:rPr>
              <w:t>311,297,872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5D3FB1" w14:paraId="3DE800D7" w14:textId="77777777" w:rsidTr="00583C52">
        <w:trPr>
          <w:trHeight w:val="252"/>
        </w:trPr>
        <w:tc>
          <w:tcPr>
            <w:tcW w:w="4831" w:type="dxa"/>
          </w:tcPr>
          <w:p w14:paraId="65D97ADE" w14:textId="77777777" w:rsidR="009C4FA6" w:rsidRPr="005D3FB1" w:rsidRDefault="009C4FA6" w:rsidP="009C4FA6">
            <w:pPr>
              <w:pStyle w:val="TableParagraph"/>
              <w:ind w:left="50"/>
              <w:jc w:val="left"/>
            </w:pPr>
            <w:r w:rsidRPr="005D3FB1">
              <w:t>Ayuntamiento</w:t>
            </w:r>
            <w:r w:rsidRPr="005D3FB1">
              <w:rPr>
                <w:spacing w:val="1"/>
              </w:rPr>
              <w:t xml:space="preserve"> </w:t>
            </w:r>
            <w:r w:rsidRPr="005D3FB1">
              <w:t>de</w:t>
            </w:r>
            <w:r w:rsidRPr="005D3FB1">
              <w:rPr>
                <w:spacing w:val="-1"/>
              </w:rPr>
              <w:t xml:space="preserve"> </w:t>
            </w:r>
            <w:r w:rsidRPr="005D3FB1">
              <w:t>La Paz</w:t>
            </w:r>
          </w:p>
        </w:tc>
        <w:tc>
          <w:tcPr>
            <w:tcW w:w="2427" w:type="dxa"/>
          </w:tcPr>
          <w:p w14:paraId="634B81F2" w14:textId="61BDA776" w:rsidR="009C4FA6" w:rsidRPr="005D3FB1" w:rsidRDefault="00EB2AAC" w:rsidP="009C4FA6">
            <w:pPr>
              <w:pStyle w:val="TableParagraph"/>
              <w:ind w:right="196"/>
            </w:pPr>
            <w:r>
              <w:t>0</w:t>
            </w:r>
          </w:p>
        </w:tc>
        <w:tc>
          <w:tcPr>
            <w:tcW w:w="2086" w:type="dxa"/>
          </w:tcPr>
          <w:p w14:paraId="62C515F3" w14:textId="393B2946" w:rsidR="009C4FA6" w:rsidRPr="00D45518" w:rsidRDefault="00EB2AAC" w:rsidP="009C4FA6">
            <w:pPr>
              <w:pStyle w:val="TableParagraph"/>
              <w:ind w:right="48"/>
              <w:rPr>
                <w:highlight w:val="yellow"/>
              </w:rPr>
            </w:pPr>
            <w:r>
              <w:t>0</w:t>
            </w:r>
          </w:p>
        </w:tc>
      </w:tr>
      <w:tr w:rsidR="009C4FA6" w:rsidRPr="005D3FB1" w14:paraId="0F0CB4B9" w14:textId="77777777" w:rsidTr="00583C52">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tcPr>
          <w:p w14:paraId="0E35A2FA" w14:textId="77777777" w:rsidR="009C4FA6" w:rsidRPr="004B2FD5" w:rsidRDefault="009C4FA6" w:rsidP="009C4FA6">
            <w:pPr>
              <w:pStyle w:val="TableParagraph"/>
              <w:spacing w:line="234" w:lineRule="exact"/>
              <w:ind w:right="195"/>
              <w:rPr>
                <w:lang w:val="es-MX"/>
              </w:rPr>
            </w:pPr>
            <w:r w:rsidRPr="004B2FD5">
              <w:t xml:space="preserve">               572,470 </w:t>
            </w:r>
          </w:p>
        </w:tc>
        <w:tc>
          <w:tcPr>
            <w:tcW w:w="2086" w:type="dxa"/>
          </w:tcPr>
          <w:p w14:paraId="3ABA1036" w14:textId="154C1399" w:rsidR="009C4FA6" w:rsidRPr="00D45518" w:rsidRDefault="009C4FA6" w:rsidP="009C4FA6">
            <w:pPr>
              <w:pStyle w:val="TableParagraph"/>
              <w:spacing w:line="234" w:lineRule="exact"/>
              <w:ind w:right="48"/>
              <w:rPr>
                <w:highlight w:val="yellow"/>
              </w:rPr>
            </w:pPr>
            <w:r w:rsidRPr="004B2FD5">
              <w:t xml:space="preserve">               572,470 </w:t>
            </w:r>
          </w:p>
        </w:tc>
      </w:tr>
      <w:tr w:rsidR="009C4FA6" w:rsidRPr="005D3FB1" w14:paraId="05E82D70" w14:textId="77777777" w:rsidTr="00583C52">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proofErr w:type="spellStart"/>
            <w:r w:rsidRPr="005D3FB1">
              <w:t>Comondú</w:t>
            </w:r>
            <w:proofErr w:type="spellEnd"/>
          </w:p>
        </w:tc>
        <w:tc>
          <w:tcPr>
            <w:tcW w:w="2427" w:type="dxa"/>
          </w:tcPr>
          <w:p w14:paraId="76348152" w14:textId="59A74268" w:rsidR="009C4FA6" w:rsidRPr="00D45518" w:rsidRDefault="003B1C70" w:rsidP="009C4FA6">
            <w:pPr>
              <w:pStyle w:val="TableParagraph"/>
              <w:ind w:right="195"/>
              <w:rPr>
                <w:lang w:val="es-MX"/>
              </w:rPr>
            </w:pPr>
            <w:r>
              <w:t>31,159</w:t>
            </w:r>
            <w:r w:rsidR="009C4FA6" w:rsidRPr="004B2FD5">
              <w:t xml:space="preserve"> </w:t>
            </w:r>
          </w:p>
        </w:tc>
        <w:tc>
          <w:tcPr>
            <w:tcW w:w="2086" w:type="dxa"/>
          </w:tcPr>
          <w:p w14:paraId="5752287D" w14:textId="715E0BB7" w:rsidR="009C4FA6" w:rsidRPr="00D45518" w:rsidRDefault="003B1C70" w:rsidP="009C4FA6">
            <w:pPr>
              <w:pStyle w:val="TableParagraph"/>
              <w:ind w:right="48"/>
              <w:rPr>
                <w:highlight w:val="yellow"/>
              </w:rPr>
            </w:pPr>
            <w:r>
              <w:t>31,159</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proofErr w:type="spellStart"/>
            <w:r w:rsidRPr="005D3FB1">
              <w:t>Mulegé</w:t>
            </w:r>
            <w:proofErr w:type="spellEnd"/>
          </w:p>
        </w:tc>
        <w:tc>
          <w:tcPr>
            <w:tcW w:w="2427" w:type="dxa"/>
          </w:tcPr>
          <w:p w14:paraId="74D51C81" w14:textId="5857D09D" w:rsidR="009C4FA6" w:rsidRPr="00D45518" w:rsidRDefault="003B1C70" w:rsidP="001D53D1">
            <w:pPr>
              <w:pStyle w:val="TableParagraph"/>
              <w:spacing w:line="234" w:lineRule="exact"/>
              <w:ind w:right="195"/>
              <w:rPr>
                <w:lang w:val="es-MX"/>
              </w:rPr>
            </w:pPr>
            <w:r>
              <w:t>7,146,464</w:t>
            </w:r>
            <w:r w:rsidR="009C4FA6" w:rsidRPr="00D45518">
              <w:t xml:space="preserve"> </w:t>
            </w:r>
          </w:p>
        </w:tc>
        <w:tc>
          <w:tcPr>
            <w:tcW w:w="2086" w:type="dxa"/>
          </w:tcPr>
          <w:p w14:paraId="2EB379A6" w14:textId="7349C5B6" w:rsidR="009C4FA6" w:rsidRPr="00D45518" w:rsidRDefault="003B1C70" w:rsidP="001D53D1">
            <w:pPr>
              <w:pStyle w:val="TableParagraph"/>
              <w:spacing w:line="234" w:lineRule="exact"/>
              <w:ind w:right="48"/>
              <w:rPr>
                <w:highlight w:val="yellow"/>
              </w:rPr>
            </w:pPr>
            <w:r>
              <w:t>7,146,464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D45518" w:rsidRDefault="009C4FA6" w:rsidP="003B1C70">
            <w:pPr>
              <w:pStyle w:val="TableParagraph"/>
              <w:spacing w:line="232" w:lineRule="exact"/>
              <w:ind w:right="195"/>
              <w:rPr>
                <w:lang w:val="es-MX"/>
              </w:rPr>
            </w:pPr>
            <w:r w:rsidRPr="00D45518">
              <w:t xml:space="preserve">               </w:t>
            </w:r>
            <w:r w:rsidR="003B1C70">
              <w:t>111,237</w:t>
            </w:r>
          </w:p>
        </w:tc>
        <w:tc>
          <w:tcPr>
            <w:tcW w:w="2086" w:type="dxa"/>
          </w:tcPr>
          <w:p w14:paraId="2C3B3B0D" w14:textId="4BEA1491" w:rsidR="009C4FA6" w:rsidRPr="00D45518" w:rsidRDefault="003B1C7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D45518" w:rsidRDefault="009C4FA6" w:rsidP="009C4FA6">
            <w:pPr>
              <w:pStyle w:val="TableParagraph"/>
              <w:spacing w:line="232" w:lineRule="exact"/>
              <w:ind w:right="192"/>
              <w:rPr>
                <w:lang w:val="es-MX"/>
              </w:rPr>
            </w:pPr>
            <w:r w:rsidRPr="00D45518">
              <w:t xml:space="preserve">         80,436,234 </w:t>
            </w:r>
          </w:p>
        </w:tc>
        <w:tc>
          <w:tcPr>
            <w:tcW w:w="2086" w:type="dxa"/>
          </w:tcPr>
          <w:p w14:paraId="38587840" w14:textId="38B1DB56" w:rsidR="009C4FA6" w:rsidRPr="00D45518" w:rsidRDefault="009C4FA6" w:rsidP="009C4FA6">
            <w:pPr>
              <w:pStyle w:val="TableParagraph"/>
              <w:spacing w:line="232" w:lineRule="exact"/>
              <w:ind w:right="48"/>
              <w:rPr>
                <w:highlight w:val="yellow"/>
              </w:rPr>
            </w:pPr>
            <w:r w:rsidRPr="00D45518">
              <w:t xml:space="preserve">         80,436,234 </w:t>
            </w:r>
          </w:p>
        </w:tc>
      </w:tr>
      <w:tr w:rsidR="009C4FA6" w:rsidRPr="005D3FB1" w14:paraId="5FD148FE" w14:textId="77777777" w:rsidTr="00583C52">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tcPr>
          <w:p w14:paraId="1495C230" w14:textId="77777777" w:rsidR="009C4FA6" w:rsidRPr="00D45518" w:rsidRDefault="009C4FA6" w:rsidP="009C4FA6">
            <w:pPr>
              <w:pStyle w:val="TableParagraph"/>
              <w:ind w:right="210"/>
              <w:rPr>
                <w:lang w:val="es-MX"/>
              </w:rPr>
            </w:pPr>
            <w:r w:rsidRPr="00D45518">
              <w:t xml:space="preserve">           9,200,000 </w:t>
            </w:r>
          </w:p>
        </w:tc>
        <w:tc>
          <w:tcPr>
            <w:tcW w:w="2086" w:type="dxa"/>
          </w:tcPr>
          <w:p w14:paraId="50477145" w14:textId="7D444DDE" w:rsidR="009C4FA6" w:rsidRPr="00D45518" w:rsidRDefault="009C4FA6" w:rsidP="009C4FA6">
            <w:pPr>
              <w:pStyle w:val="TableParagraph"/>
              <w:ind w:right="48"/>
              <w:rPr>
                <w:highlight w:val="yellow"/>
              </w:rPr>
            </w:pPr>
            <w:r w:rsidRPr="00D45518">
              <w:t xml:space="preserve">           9,200,000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261720BA" w:rsidR="009C4FA6" w:rsidRPr="00D45518" w:rsidRDefault="009C4FA6" w:rsidP="003B1C70">
            <w:pPr>
              <w:pStyle w:val="TableParagraph"/>
              <w:ind w:right="180"/>
              <w:rPr>
                <w:lang w:val="es-MX"/>
              </w:rPr>
            </w:pPr>
            <w:r w:rsidRPr="00D45518">
              <w:t xml:space="preserve">         </w:t>
            </w:r>
            <w:r w:rsidR="003B1C70">
              <w:t>94,373,284</w:t>
            </w:r>
          </w:p>
        </w:tc>
        <w:tc>
          <w:tcPr>
            <w:tcW w:w="2086" w:type="dxa"/>
          </w:tcPr>
          <w:p w14:paraId="7BF70F36" w14:textId="216A4B06" w:rsidR="009C4FA6" w:rsidRPr="00D45518" w:rsidRDefault="009C4FA6" w:rsidP="003B1C70">
            <w:pPr>
              <w:pStyle w:val="TableParagraph"/>
              <w:ind w:right="48"/>
              <w:rPr>
                <w:highlight w:val="yellow"/>
              </w:rPr>
            </w:pPr>
            <w:r w:rsidRPr="00D45518">
              <w:t xml:space="preserve">         </w:t>
            </w:r>
            <w:r w:rsidR="003B1C70">
              <w:t>94,373,284</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D45518" w:rsidRDefault="009C4FA6" w:rsidP="009C4FA6">
            <w:pPr>
              <w:pStyle w:val="TableParagraph"/>
              <w:spacing w:line="234" w:lineRule="exact"/>
              <w:ind w:right="181"/>
              <w:rPr>
                <w:lang w:val="es-MX"/>
              </w:rPr>
            </w:pPr>
            <w:r w:rsidRPr="00D45518">
              <w:t xml:space="preserve">      102,424,978 </w:t>
            </w:r>
          </w:p>
        </w:tc>
        <w:tc>
          <w:tcPr>
            <w:tcW w:w="2086" w:type="dxa"/>
          </w:tcPr>
          <w:p w14:paraId="4FE5A96D" w14:textId="55AD3468" w:rsidR="009C4FA6" w:rsidRPr="00D45518" w:rsidRDefault="009C4FA6" w:rsidP="009C4FA6">
            <w:pPr>
              <w:pStyle w:val="TableParagraph"/>
              <w:spacing w:line="234" w:lineRule="exact"/>
              <w:ind w:right="48"/>
              <w:rPr>
                <w:highlight w:val="yellow"/>
              </w:rPr>
            </w:pPr>
            <w:r w:rsidRPr="00D45518">
              <w:t xml:space="preserve">      102,424,978 </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11AA6DCA" w:rsidR="009C4FA6" w:rsidRPr="00D45518" w:rsidRDefault="00844F87" w:rsidP="009C4FA6">
            <w:pPr>
              <w:pStyle w:val="TableParagraph"/>
              <w:tabs>
                <w:tab w:val="left" w:pos="636"/>
              </w:tabs>
              <w:spacing w:line="241" w:lineRule="exact"/>
              <w:ind w:right="181"/>
            </w:pPr>
            <w:r>
              <w:t>98,09</w:t>
            </w:r>
            <w:r w:rsidR="00354A9B">
              <w:t>8</w:t>
            </w:r>
            <w:r>
              <w:t>,</w:t>
            </w:r>
            <w:r w:rsidR="00354A9B">
              <w:t>03</w:t>
            </w:r>
            <w:r w:rsidR="00FB69E3">
              <w:t>3</w:t>
            </w:r>
          </w:p>
          <w:p w14:paraId="08D355AA" w14:textId="77777777" w:rsidR="009C4FA6" w:rsidRPr="005D3FB1" w:rsidRDefault="009C4FA6" w:rsidP="009C4FA6">
            <w:pPr>
              <w:pStyle w:val="TableParagraph"/>
              <w:tabs>
                <w:tab w:val="left" w:pos="636"/>
              </w:tabs>
              <w:spacing w:line="241" w:lineRule="exact"/>
              <w:ind w:right="181"/>
            </w:pPr>
            <w:r w:rsidRPr="005D3FB1">
              <w:rPr>
                <w:noProof/>
                <w:lang w:val="en-US"/>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7B497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4E194145" w:rsidR="009C4FA6" w:rsidRPr="00154A5E" w:rsidRDefault="00583C52" w:rsidP="00583C52">
            <w:pPr>
              <w:pStyle w:val="TableParagraph"/>
              <w:spacing w:line="241" w:lineRule="exact"/>
            </w:pPr>
            <w:r>
              <w:t xml:space="preserve">             </w:t>
            </w:r>
            <w:r w:rsidR="00844F87">
              <w:t>98,096,861</w:t>
            </w:r>
            <w:r w:rsidR="009C4FA6" w:rsidRPr="005D3FB1">
              <w:rPr>
                <w:noProof/>
                <w:lang w:val="en-US"/>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29C71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239F1166" w:rsidR="00FB377E" w:rsidRPr="00FB377E" w:rsidRDefault="00FB377E" w:rsidP="00FB377E">
            <w:pPr>
              <w:pStyle w:val="TableParagraph"/>
              <w:spacing w:before="4" w:line="240" w:lineRule="auto"/>
              <w:ind w:right="210"/>
              <w:jc w:val="left"/>
              <w:rPr>
                <w:b/>
              </w:rPr>
            </w:pPr>
            <w:r w:rsidRPr="00FB377E">
              <w:rPr>
                <w:b/>
              </w:rPr>
              <w:t xml:space="preserve">         </w:t>
            </w:r>
            <w:r w:rsidR="00997ED3">
              <w:rPr>
                <w:b/>
              </w:rPr>
              <w:t xml:space="preserve"> </w:t>
            </w:r>
            <w:r>
              <w:rPr>
                <w:b/>
                <w:u w:val="single"/>
              </w:rPr>
              <w:t xml:space="preserve"> </w:t>
            </w:r>
            <w:r w:rsidR="003D6BEB">
              <w:rPr>
                <w:b/>
                <w:u w:val="single"/>
              </w:rPr>
              <w:t>$</w:t>
            </w:r>
            <w:r w:rsidR="00354A9B">
              <w:rPr>
                <w:b/>
                <w:u w:val="single"/>
              </w:rPr>
              <w:t>1,</w:t>
            </w:r>
            <w:r w:rsidR="00A15573">
              <w:rPr>
                <w:b/>
                <w:u w:val="single"/>
              </w:rPr>
              <w:t>703,691,731</w:t>
            </w:r>
            <w:r w:rsidRPr="00FB377E">
              <w:rPr>
                <w:b/>
                <w:spacing w:val="-3"/>
                <w:u w:val="single"/>
              </w:rPr>
              <w:t xml:space="preserve"> </w:t>
            </w:r>
          </w:p>
          <w:p w14:paraId="1263DFB8" w14:textId="77777777" w:rsidR="00214357" w:rsidRPr="005D3FB1" w:rsidRDefault="00214357" w:rsidP="003817D9">
            <w:pPr>
              <w:pStyle w:val="TableParagraph"/>
              <w:spacing w:before="4" w:line="240" w:lineRule="auto"/>
              <w:ind w:right="210"/>
              <w:rPr>
                <w:b/>
              </w:rPr>
            </w:pPr>
          </w:p>
        </w:tc>
        <w:tc>
          <w:tcPr>
            <w:tcW w:w="2086" w:type="dxa"/>
          </w:tcPr>
          <w:p w14:paraId="1C8A4979" w14:textId="1A722056" w:rsidR="00214357" w:rsidRPr="00154A5E" w:rsidRDefault="00BB3405" w:rsidP="00844F87">
            <w:pPr>
              <w:pStyle w:val="TableParagraph"/>
              <w:spacing w:before="1" w:line="240" w:lineRule="auto"/>
              <w:ind w:right="50"/>
              <w:rPr>
                <w:b/>
              </w:rPr>
            </w:pPr>
            <w:r>
              <w:rPr>
                <w:b/>
                <w:u w:val="single"/>
              </w:rPr>
              <w:t>$</w:t>
            </w:r>
            <w:r w:rsidR="0026686F">
              <w:rPr>
                <w:b/>
                <w:u w:val="single"/>
              </w:rPr>
              <w:t>1,</w:t>
            </w:r>
            <w:r w:rsidR="00844F87">
              <w:rPr>
                <w:b/>
                <w:u w:val="single"/>
              </w:rPr>
              <w:t>652,719,043</w:t>
            </w:r>
          </w:p>
        </w:tc>
      </w:tr>
    </w:tbl>
    <w:p w14:paraId="01447C0B" w14:textId="77777777" w:rsidR="00214357" w:rsidRDefault="00214357">
      <w:pPr>
        <w:rPr>
          <w:rFonts w:ascii="Arial"/>
        </w:rPr>
        <w:sectPr w:rsidR="00214357" w:rsidSect="004053B0">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rsidR="005D261D">
        <w:t xml:space="preserve"> </w:t>
      </w:r>
      <w:r w:rsidRPr="005D3FB1">
        <w:rPr>
          <w:spacing w:val="-58"/>
        </w:rPr>
        <w:t xml:space="preserve"> </w:t>
      </w:r>
      <w:proofErr w:type="spellStart"/>
      <w:r w:rsidRPr="005D3FB1">
        <w:t>Comondú</w:t>
      </w:r>
      <w:proofErr w:type="spellEnd"/>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proofErr w:type="spellStart"/>
      <w:r w:rsidRPr="005D3FB1">
        <w:t>Mulegé</w:t>
      </w:r>
      <w:proofErr w:type="spellEnd"/>
      <w:r w:rsidRPr="005D3FB1">
        <w:t>)</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 xml:space="preserve">“Mandato </w:t>
      </w:r>
      <w:proofErr w:type="spellStart"/>
      <w:r w:rsidRPr="005D3FB1">
        <w:t>Banobras</w:t>
      </w:r>
      <w:proofErr w:type="spellEnd"/>
      <w:r w:rsidRPr="005D3FB1">
        <w:t>”.</w:t>
      </w:r>
    </w:p>
    <w:p w14:paraId="5AC7D401" w14:textId="77777777" w:rsidR="00804900" w:rsidRPr="005D3FB1" w:rsidRDefault="00804900">
      <w:pPr>
        <w:pStyle w:val="Textoindependiente"/>
        <w:spacing w:before="94"/>
        <w:ind w:left="277"/>
      </w:pPr>
    </w:p>
    <w:p w14:paraId="11E9FC6D" w14:textId="08D535C9"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31</w:t>
      </w:r>
      <w:r w:rsidRPr="005D3FB1">
        <w:t xml:space="preserve"> de</w:t>
      </w:r>
      <w:r w:rsidRPr="005D3FB1">
        <w:rPr>
          <w:spacing w:val="1"/>
        </w:rPr>
        <w:t xml:space="preserve"> </w:t>
      </w:r>
      <w:r w:rsidR="00A15573">
        <w:rPr>
          <w:spacing w:val="1"/>
        </w:rPr>
        <w:t>marzo</w:t>
      </w:r>
      <w:r w:rsidRPr="005D3FB1">
        <w:t xml:space="preserve"> de 202</w:t>
      </w:r>
      <w:r w:rsidR="00BB3405">
        <w:t>3</w:t>
      </w:r>
      <w:r w:rsidRPr="005D3FB1">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proofErr w:type="gramStart"/>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proofErr w:type="gramEnd"/>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6180572E" w:rsidR="00BB3405" w:rsidRPr="006474CF" w:rsidRDefault="00A15573" w:rsidP="00BB3405">
            <w:pPr>
              <w:pStyle w:val="TableParagraph"/>
              <w:spacing w:line="232" w:lineRule="exact"/>
              <w:ind w:right="224"/>
              <w:rPr>
                <w:rFonts w:ascii="Calibri" w:eastAsia="Times New Roman" w:hAnsi="Calibri" w:cs="Calibri"/>
                <w:b/>
                <w:bCs/>
                <w:color w:val="000000"/>
                <w:lang w:val="es-MX"/>
              </w:rPr>
            </w:pPr>
            <w:r>
              <w:t>384,022,368</w:t>
            </w:r>
          </w:p>
        </w:tc>
        <w:tc>
          <w:tcPr>
            <w:tcW w:w="2223" w:type="dxa"/>
          </w:tcPr>
          <w:p w14:paraId="7F1081D6" w14:textId="6537B436" w:rsidR="00BB3405" w:rsidRPr="0078154A" w:rsidRDefault="00DC54ED" w:rsidP="00BB3405">
            <w:pPr>
              <w:pStyle w:val="TableParagraph"/>
              <w:ind w:right="63"/>
              <w:rPr>
                <w:highlight w:val="yellow"/>
              </w:rPr>
            </w:pPr>
            <w:r>
              <w:t>382,480,906</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proofErr w:type="spellStart"/>
            <w:r w:rsidRPr="005D3FB1">
              <w:t>Comondú</w:t>
            </w:r>
            <w:proofErr w:type="spellEnd"/>
          </w:p>
        </w:tc>
        <w:tc>
          <w:tcPr>
            <w:tcW w:w="3000" w:type="dxa"/>
          </w:tcPr>
          <w:p w14:paraId="7AD1EAAD" w14:textId="1E76E6A0" w:rsidR="00BB3405" w:rsidRPr="005D3FB1" w:rsidRDefault="00A15573" w:rsidP="00BB3405">
            <w:pPr>
              <w:pStyle w:val="TableParagraph"/>
              <w:spacing w:line="232" w:lineRule="exact"/>
              <w:ind w:right="224"/>
            </w:pPr>
            <w:r>
              <w:t>492,582,452</w:t>
            </w:r>
          </w:p>
        </w:tc>
        <w:tc>
          <w:tcPr>
            <w:tcW w:w="2223" w:type="dxa"/>
          </w:tcPr>
          <w:p w14:paraId="6224E502" w14:textId="53462A39" w:rsidR="00BB3405" w:rsidRPr="0078154A" w:rsidRDefault="00A15573" w:rsidP="00BB3405">
            <w:pPr>
              <w:pStyle w:val="TableParagraph"/>
              <w:spacing w:line="232" w:lineRule="exact"/>
              <w:ind w:right="63"/>
              <w:rPr>
                <w:highlight w:val="yellow"/>
              </w:rPr>
            </w:pPr>
            <w:r>
              <w:t>496,725,040</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proofErr w:type="spellStart"/>
            <w:r w:rsidRPr="005D3FB1">
              <w:t>Mulegé</w:t>
            </w:r>
            <w:proofErr w:type="spellEnd"/>
          </w:p>
        </w:tc>
        <w:tc>
          <w:tcPr>
            <w:tcW w:w="3000" w:type="dxa"/>
          </w:tcPr>
          <w:p w14:paraId="73B37D92" w14:textId="31D44A11" w:rsidR="00BB3405" w:rsidRPr="005D3FB1" w:rsidRDefault="00A15573" w:rsidP="00BB3405">
            <w:pPr>
              <w:pStyle w:val="TableParagraph"/>
              <w:spacing w:line="232" w:lineRule="exact"/>
              <w:ind w:right="224"/>
            </w:pPr>
            <w:r>
              <w:t>89,543,046</w:t>
            </w:r>
          </w:p>
        </w:tc>
        <w:tc>
          <w:tcPr>
            <w:tcW w:w="2223" w:type="dxa"/>
          </w:tcPr>
          <w:p w14:paraId="47E54811" w14:textId="45E539FC" w:rsidR="00BB3405" w:rsidRPr="0078154A" w:rsidRDefault="00A15573" w:rsidP="00D20B3E">
            <w:pPr>
              <w:pStyle w:val="TableParagraph"/>
              <w:spacing w:line="232" w:lineRule="exact"/>
              <w:ind w:right="63"/>
              <w:rPr>
                <w:highlight w:val="yellow"/>
              </w:rPr>
            </w:pPr>
            <w:r>
              <w:t>8</w:t>
            </w:r>
            <w:r w:rsidR="00D20B3E">
              <w:t>9</w:t>
            </w:r>
            <w:r>
              <w:t>,951,384</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4A7D8A48" w:rsidR="00BB3405" w:rsidRPr="005D3FB1" w:rsidRDefault="00A15573" w:rsidP="00BB3405">
            <w:pPr>
              <w:pStyle w:val="TableParagraph"/>
              <w:spacing w:line="234" w:lineRule="exact"/>
              <w:ind w:right="224"/>
            </w:pPr>
            <w:r>
              <w:t>22,843,529</w:t>
            </w:r>
          </w:p>
        </w:tc>
        <w:tc>
          <w:tcPr>
            <w:tcW w:w="2223" w:type="dxa"/>
          </w:tcPr>
          <w:p w14:paraId="10851806" w14:textId="0C958600" w:rsidR="00BB3405" w:rsidRPr="0078154A" w:rsidRDefault="00BB3405" w:rsidP="00BB3405">
            <w:pPr>
              <w:pStyle w:val="TableParagraph"/>
              <w:spacing w:line="234" w:lineRule="exact"/>
              <w:ind w:right="63"/>
              <w:rPr>
                <w:highlight w:val="yellow"/>
              </w:rPr>
            </w:pPr>
            <w:r>
              <w:t>23,343,529</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4F1E031A" w:rsidR="00BB3405" w:rsidRPr="005D3FB1" w:rsidRDefault="00A15573" w:rsidP="00643897">
            <w:pPr>
              <w:pStyle w:val="TableParagraph"/>
              <w:spacing w:line="232" w:lineRule="exact"/>
              <w:ind w:right="224"/>
            </w:pPr>
            <w:r>
              <w:t>51,120,484</w:t>
            </w:r>
          </w:p>
        </w:tc>
        <w:tc>
          <w:tcPr>
            <w:tcW w:w="2223" w:type="dxa"/>
          </w:tcPr>
          <w:p w14:paraId="410A1720" w14:textId="4B0DCE11" w:rsidR="00BB3405" w:rsidRPr="0078154A" w:rsidRDefault="002C1F4E" w:rsidP="00BB3405">
            <w:pPr>
              <w:pStyle w:val="TableParagraph"/>
              <w:spacing w:line="232" w:lineRule="exact"/>
              <w:ind w:right="63"/>
              <w:rPr>
                <w:highlight w:val="yellow"/>
              </w:rPr>
            </w:pPr>
            <w:r>
              <w:t>49,068,022</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proofErr w:type="spellStart"/>
            <w:r w:rsidRPr="005D3FB1">
              <w:t>Banobras</w:t>
            </w:r>
            <w:proofErr w:type="spellEnd"/>
          </w:p>
        </w:tc>
        <w:tc>
          <w:tcPr>
            <w:tcW w:w="3000" w:type="dxa"/>
          </w:tcPr>
          <w:p w14:paraId="2FE68420" w14:textId="77777777" w:rsidR="00BB3405" w:rsidRPr="005D3FB1" w:rsidRDefault="00BB3405" w:rsidP="00BB3405">
            <w:pPr>
              <w:pStyle w:val="TableParagraph"/>
              <w:tabs>
                <w:tab w:val="left" w:pos="416"/>
              </w:tabs>
              <w:spacing w:line="234" w:lineRule="exact"/>
              <w:ind w:right="181"/>
            </w:pPr>
            <w:r w:rsidRPr="005D3FB1">
              <w:rPr>
                <w:u w:val="single"/>
              </w:rPr>
              <w:t xml:space="preserve"> </w:t>
            </w:r>
            <w:r w:rsidRPr="005D3FB1">
              <w:rPr>
                <w:u w:val="single"/>
              </w:rPr>
              <w:tab/>
              <w:t xml:space="preserve">   156,865,939 </w:t>
            </w:r>
            <w:r w:rsidRPr="005D3FB1">
              <w:rPr>
                <w:spacing w:val="-23"/>
                <w:u w:val="single"/>
              </w:rPr>
              <w:t xml:space="preserve"> </w:t>
            </w:r>
          </w:p>
        </w:tc>
        <w:tc>
          <w:tcPr>
            <w:tcW w:w="2223" w:type="dxa"/>
          </w:tcPr>
          <w:p w14:paraId="396786F5" w14:textId="2D6B942F" w:rsidR="00BB3405" w:rsidRPr="0078154A" w:rsidRDefault="00BB3405" w:rsidP="00BB3405">
            <w:pPr>
              <w:pStyle w:val="TableParagraph"/>
              <w:tabs>
                <w:tab w:val="left" w:pos="469"/>
              </w:tabs>
              <w:spacing w:line="235" w:lineRule="exact"/>
              <w:ind w:right="64"/>
              <w:rPr>
                <w:highlight w:val="yellow"/>
              </w:rPr>
            </w:pPr>
            <w:r w:rsidRPr="005D3FB1">
              <w:rPr>
                <w:u w:val="single"/>
              </w:rPr>
              <w:t xml:space="preserve"> </w:t>
            </w:r>
            <w:r w:rsidRPr="005D3FB1">
              <w:rPr>
                <w:u w:val="single"/>
              </w:rPr>
              <w:tab/>
              <w:t xml:space="preserve">   156,865,939 </w:t>
            </w:r>
            <w:r w:rsidRPr="005D3FB1">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5802F521" w:rsidR="00214357" w:rsidRPr="005D3FB1" w:rsidRDefault="00FC687E" w:rsidP="00A15573">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624C9E">
              <w:rPr>
                <w:b/>
                <w:u w:val="single"/>
              </w:rPr>
              <w:t>1,</w:t>
            </w:r>
            <w:r w:rsidR="00A15573">
              <w:rPr>
                <w:b/>
                <w:u w:val="single"/>
              </w:rPr>
              <w:t>196,977,818</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0C0F3A3A"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A15573">
              <w:rPr>
                <w:b/>
                <w:u w:val="single"/>
              </w:rPr>
              <w:t>1,198,434,820</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6D627987" w:rsidR="00214357" w:rsidRPr="008276E5" w:rsidRDefault="00D53BCA" w:rsidP="00992252">
      <w:pPr>
        <w:pStyle w:val="Textoindependiente"/>
        <w:spacing w:before="1"/>
        <w:ind w:left="595"/>
      </w:pPr>
      <w:r>
        <w:t xml:space="preserve">Al </w:t>
      </w:r>
      <w:r w:rsidR="00A15573">
        <w:t>31</w:t>
      </w:r>
      <w:r>
        <w:t xml:space="preserve"> de </w:t>
      </w:r>
      <w:r w:rsidR="00A15573">
        <w:t>marzo</w:t>
      </w:r>
      <w:r>
        <w:t xml:space="preserve"> de 202</w:t>
      </w:r>
      <w:r w:rsidR="00BB3405">
        <w:t>3</w:t>
      </w:r>
      <w:r>
        <w:t xml:space="preserve"> y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F1E3A">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lastRenderedPageBreak/>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lastRenderedPageBreak/>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8276E5">
          <w:type w:val="continuous"/>
          <w:pgSz w:w="15840" w:h="12240" w:orient="landscape"/>
          <w:pgMar w:top="1737" w:right="941"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lastRenderedPageBreak/>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8276E5">
          <w:type w:val="continuous"/>
          <w:pgSz w:w="15840" w:h="12240" w:orient="landscape"/>
          <w:pgMar w:top="1737" w:right="941"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lastRenderedPageBreak/>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Pr="008276E5"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222E1228" w:rsidR="00396356" w:rsidRDefault="00A65629" w:rsidP="00C5080B">
            <w:pPr>
              <w:pStyle w:val="TableParagraph"/>
              <w:spacing w:before="125" w:line="240" w:lineRule="auto"/>
              <w:ind w:right="-576"/>
              <w:jc w:val="center"/>
            </w:pPr>
            <w:r>
              <w:t xml:space="preserve">         </w:t>
            </w:r>
            <w:r w:rsidR="008001D4">
              <w:t>2</w:t>
            </w:r>
            <w:r w:rsidR="00C5080B">
              <w:t>2</w:t>
            </w:r>
            <w:r w:rsidR="008001D4">
              <w:t>5,000,000</w:t>
            </w:r>
          </w:p>
        </w:tc>
        <w:tc>
          <w:tcPr>
            <w:tcW w:w="2237" w:type="dxa"/>
          </w:tcPr>
          <w:p w14:paraId="6E878140" w14:textId="5E6CB8F1" w:rsidR="00396356" w:rsidRPr="0010045F" w:rsidRDefault="00A65629" w:rsidP="00170A93">
            <w:pPr>
              <w:pStyle w:val="TableParagraph"/>
              <w:spacing w:before="125" w:line="240" w:lineRule="auto"/>
              <w:ind w:right="47"/>
              <w:jc w:val="center"/>
            </w:pPr>
            <w:r>
              <w:t xml:space="preserve">    </w:t>
            </w:r>
            <w:r w:rsidR="00396356">
              <w:t>300,000,000</w:t>
            </w:r>
          </w:p>
        </w:tc>
      </w:tr>
    </w:tbl>
    <w:p w14:paraId="58F7BCDC" w14:textId="4842D93C" w:rsidR="00214357" w:rsidRDefault="008D5DC6" w:rsidP="00DB41EE">
      <w:pPr>
        <w:pStyle w:val="Textoindependiente"/>
        <w:tabs>
          <w:tab w:val="left" w:pos="3119"/>
        </w:tabs>
        <w:spacing w:before="165"/>
        <w:sectPr w:rsidR="00214357" w:rsidSect="00997ED3">
          <w:type w:val="continuous"/>
          <w:pgSz w:w="15840" w:h="12240" w:orient="landscape"/>
          <w:pgMar w:top="1737" w:right="2515"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n-US"/>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9E06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n-US"/>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A396DE"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7BD9A8EA" w:rsidR="00214357" w:rsidRDefault="00A65629" w:rsidP="00170A93">
      <w:pPr>
        <w:pStyle w:val="Ttulo1"/>
        <w:tabs>
          <w:tab w:val="left" w:pos="10206"/>
          <w:tab w:val="left" w:pos="12049"/>
        </w:tabs>
        <w:spacing w:after="11"/>
        <w:ind w:left="8647" w:firstLine="142"/>
      </w:pPr>
      <w:r>
        <w:t xml:space="preserve">     </w:t>
      </w:r>
      <w:r w:rsidR="00C60AAA">
        <w:t>$</w:t>
      </w:r>
      <w:r>
        <w:t>2</w:t>
      </w:r>
      <w:r w:rsidR="00C5080B">
        <w:t>2</w:t>
      </w:r>
      <w:r>
        <w:t xml:space="preserve">5,000,000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n-US"/>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C7191B"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n-US"/>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4E923A"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6E0EA430" w14:textId="77777777" w:rsidR="00453BB5" w:rsidRPr="00453BB5" w:rsidRDefault="00453BB5" w:rsidP="00453BB5">
      <w:pPr>
        <w:rPr>
          <w:rFonts w:ascii="Arial"/>
          <w:sz w:val="2"/>
        </w:rPr>
      </w:pPr>
    </w:p>
    <w:p w14:paraId="42BDB59B" w14:textId="77777777" w:rsidR="00453BB5" w:rsidRPr="00453BB5" w:rsidRDefault="00453BB5" w:rsidP="00453BB5">
      <w:pPr>
        <w:rPr>
          <w:rFonts w:ascii="Arial"/>
          <w:sz w:val="2"/>
        </w:rPr>
      </w:pPr>
    </w:p>
    <w:p w14:paraId="02ECD201" w14:textId="77777777" w:rsidR="00453BB5" w:rsidRPr="00453BB5" w:rsidRDefault="00453BB5" w:rsidP="00453BB5">
      <w:pPr>
        <w:rPr>
          <w:rFonts w:ascii="Arial"/>
          <w:sz w:val="2"/>
        </w:rPr>
      </w:pPr>
    </w:p>
    <w:p w14:paraId="524129E8" w14:textId="77777777" w:rsidR="00453BB5" w:rsidRPr="00453BB5" w:rsidRDefault="00453BB5" w:rsidP="00453BB5">
      <w:pPr>
        <w:rPr>
          <w:rFonts w:ascii="Arial"/>
          <w:sz w:val="2"/>
        </w:rPr>
      </w:pPr>
    </w:p>
    <w:p w14:paraId="28F1964E" w14:textId="77777777" w:rsidR="00453BB5" w:rsidRPr="00453BB5" w:rsidRDefault="00453BB5" w:rsidP="00453BB5">
      <w:pPr>
        <w:rPr>
          <w:rFonts w:ascii="Arial"/>
          <w:sz w:val="2"/>
        </w:rPr>
      </w:pPr>
    </w:p>
    <w:p w14:paraId="572003D4" w14:textId="77777777" w:rsidR="00453BB5" w:rsidRPr="00453BB5" w:rsidRDefault="00453BB5" w:rsidP="00453BB5">
      <w:pPr>
        <w:rPr>
          <w:rFonts w:ascii="Arial"/>
          <w:sz w:val="2"/>
        </w:rPr>
      </w:pPr>
    </w:p>
    <w:p w14:paraId="023FBF86" w14:textId="77777777" w:rsidR="00453BB5" w:rsidRPr="00453BB5" w:rsidRDefault="00453BB5" w:rsidP="00453BB5">
      <w:pPr>
        <w:rPr>
          <w:rFonts w:ascii="Arial"/>
          <w:sz w:val="2"/>
        </w:rPr>
      </w:pPr>
    </w:p>
    <w:p w14:paraId="62A3338C" w14:textId="77777777" w:rsidR="00453BB5" w:rsidRPr="00453BB5" w:rsidRDefault="00453BB5" w:rsidP="00453BB5">
      <w:pPr>
        <w:rPr>
          <w:rFonts w:ascii="Arial"/>
          <w:sz w:val="2"/>
        </w:rPr>
      </w:pPr>
    </w:p>
    <w:p w14:paraId="29FD60B9" w14:textId="77777777" w:rsidR="00453BB5" w:rsidRPr="00453BB5" w:rsidRDefault="00453BB5" w:rsidP="00453BB5">
      <w:pPr>
        <w:rPr>
          <w:rFonts w:ascii="Arial"/>
          <w:sz w:val="2"/>
        </w:rPr>
      </w:pPr>
    </w:p>
    <w:p w14:paraId="78746209" w14:textId="77777777" w:rsidR="00453BB5" w:rsidRPr="00453BB5" w:rsidRDefault="00453BB5" w:rsidP="00453BB5">
      <w:pPr>
        <w:rPr>
          <w:rFonts w:ascii="Arial"/>
          <w:sz w:val="2"/>
        </w:rPr>
      </w:pPr>
    </w:p>
    <w:p w14:paraId="23E1E264" w14:textId="77777777" w:rsidR="00453BB5" w:rsidRPr="00453BB5" w:rsidRDefault="00453BB5" w:rsidP="00453BB5">
      <w:pPr>
        <w:rPr>
          <w:rFonts w:ascii="Arial"/>
          <w:sz w:val="2"/>
        </w:rPr>
      </w:pPr>
    </w:p>
    <w:p w14:paraId="2BB6D831" w14:textId="77777777" w:rsidR="00453BB5" w:rsidRPr="00453BB5" w:rsidRDefault="00453BB5" w:rsidP="00453BB5">
      <w:pPr>
        <w:rPr>
          <w:rFonts w:ascii="Arial"/>
          <w:sz w:val="2"/>
        </w:rPr>
      </w:pPr>
    </w:p>
    <w:p w14:paraId="20909CAE" w14:textId="534606D8" w:rsidR="00453BB5" w:rsidRDefault="00453BB5" w:rsidP="00453BB5">
      <w:pPr>
        <w:rPr>
          <w:rFonts w:ascii="Arial"/>
          <w:sz w:val="2"/>
        </w:rPr>
      </w:pPr>
    </w:p>
    <w:p w14:paraId="408176DE" w14:textId="7E6F6E4A" w:rsidR="00C60AAA" w:rsidRDefault="00C60AAA" w:rsidP="00453BB5">
      <w:pPr>
        <w:rPr>
          <w:rFonts w:ascii="Arial"/>
          <w:sz w:val="2"/>
        </w:rPr>
      </w:pPr>
    </w:p>
    <w:p w14:paraId="13E70A04" w14:textId="7090DEDA" w:rsidR="00C60AAA" w:rsidRDefault="00C60AAA" w:rsidP="00453BB5">
      <w:pPr>
        <w:rPr>
          <w:rFonts w:ascii="Arial"/>
          <w:sz w:val="2"/>
        </w:rPr>
      </w:pPr>
    </w:p>
    <w:p w14:paraId="00C2432A" w14:textId="43C01699" w:rsidR="00C60AAA" w:rsidRPr="00453BB5" w:rsidRDefault="00C60AAA" w:rsidP="00453BB5">
      <w:pPr>
        <w:rPr>
          <w:rFonts w:ascii="Arial"/>
          <w:sz w:val="2"/>
        </w:rPr>
      </w:pPr>
      <w:r>
        <w:rPr>
          <w:rFonts w:ascii="Arial"/>
          <w:sz w:val="2"/>
        </w:rPr>
        <w:t>}</w:t>
      </w:r>
    </w:p>
    <w:p w14:paraId="38BD0363" w14:textId="2CF0DC7E" w:rsidR="00F0113E" w:rsidRDefault="00F0113E" w:rsidP="00453BB5">
      <w:pPr>
        <w:pStyle w:val="Ttulo1"/>
        <w:spacing w:before="94"/>
        <w:ind w:left="570"/>
        <w:jc w:val="center"/>
      </w:pPr>
    </w:p>
    <w:p w14:paraId="2F4792B5" w14:textId="77777777" w:rsidR="00332355" w:rsidRDefault="00332355" w:rsidP="00453BB5">
      <w:pPr>
        <w:pStyle w:val="Ttulo1"/>
        <w:spacing w:before="94"/>
        <w:ind w:left="570"/>
        <w:jc w:val="center"/>
      </w:pPr>
    </w:p>
    <w:p w14:paraId="6076DACF" w14:textId="77777777" w:rsidR="00F0113E" w:rsidRDefault="00F0113E" w:rsidP="00453BB5">
      <w:pPr>
        <w:pStyle w:val="Ttulo1"/>
        <w:spacing w:before="94"/>
        <w:ind w:left="570"/>
        <w:jc w:val="center"/>
      </w:pPr>
    </w:p>
    <w:p w14:paraId="2DE6B462" w14:textId="77777777" w:rsidR="00F0113E" w:rsidRDefault="00F0113E" w:rsidP="00453BB5">
      <w:pPr>
        <w:pStyle w:val="Ttulo1"/>
        <w:spacing w:before="94"/>
        <w:ind w:left="570"/>
        <w:jc w:val="center"/>
      </w:pPr>
    </w:p>
    <w:p w14:paraId="6A1161E4" w14:textId="77777777" w:rsidR="00F0113E" w:rsidRDefault="00F0113E" w:rsidP="00453BB5">
      <w:pPr>
        <w:pStyle w:val="Ttulo1"/>
        <w:spacing w:before="94"/>
        <w:ind w:left="570"/>
        <w:jc w:val="center"/>
      </w:pPr>
    </w:p>
    <w:p w14:paraId="746E438D" w14:textId="5DF70F43" w:rsidR="00453BB5" w:rsidRDefault="00453BB5" w:rsidP="00453BB5">
      <w:pPr>
        <w:pStyle w:val="Ttulo1"/>
        <w:spacing w:before="94"/>
        <w:ind w:left="570"/>
        <w:jc w:val="center"/>
      </w:pPr>
      <w:r>
        <w:t>CADENAS PRODUCTIVAS DEL GOBIERNO DEL ESTADO</w:t>
      </w:r>
    </w:p>
    <w:p w14:paraId="452278BA" w14:textId="77777777" w:rsidR="00453BB5" w:rsidRDefault="00453BB5" w:rsidP="00453BB5">
      <w:pPr>
        <w:pStyle w:val="Ttulo1"/>
        <w:spacing w:before="94"/>
        <w:ind w:left="570"/>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985"/>
        <w:gridCol w:w="2564"/>
        <w:gridCol w:w="2841"/>
      </w:tblGrid>
      <w:tr w:rsidR="00453BB5" w14:paraId="3BBCBD17" w14:textId="77777777" w:rsidTr="005F1E3A">
        <w:trPr>
          <w:jc w:val="center"/>
        </w:trPr>
        <w:tc>
          <w:tcPr>
            <w:tcW w:w="3752" w:type="dxa"/>
          </w:tcPr>
          <w:p w14:paraId="567E3ED3" w14:textId="77777777" w:rsidR="00453BB5" w:rsidRDefault="00453BB5" w:rsidP="00893E67">
            <w:pPr>
              <w:pStyle w:val="Ttulo1"/>
              <w:spacing w:before="94"/>
              <w:jc w:val="center"/>
            </w:pPr>
          </w:p>
          <w:p w14:paraId="443D1AE4" w14:textId="77777777" w:rsidR="00453BB5" w:rsidRDefault="00453BB5" w:rsidP="00893E67">
            <w:pPr>
              <w:pStyle w:val="Ttulo1"/>
              <w:spacing w:before="94"/>
              <w:jc w:val="center"/>
            </w:pPr>
            <w:r>
              <w:t>BANCOS</w:t>
            </w:r>
          </w:p>
        </w:tc>
        <w:tc>
          <w:tcPr>
            <w:tcW w:w="1985" w:type="dxa"/>
          </w:tcPr>
          <w:p w14:paraId="773D686D" w14:textId="77777777" w:rsidR="00453BB5" w:rsidRDefault="00453BB5" w:rsidP="00893E67">
            <w:pPr>
              <w:pStyle w:val="Ttulo1"/>
              <w:spacing w:before="94"/>
              <w:jc w:val="center"/>
            </w:pPr>
            <w:r>
              <w:t>LINEA DE FACTORAJE</w:t>
            </w:r>
          </w:p>
        </w:tc>
        <w:tc>
          <w:tcPr>
            <w:tcW w:w="2564" w:type="dxa"/>
          </w:tcPr>
          <w:p w14:paraId="09DC285E" w14:textId="77777777" w:rsidR="00453BB5" w:rsidRDefault="00453BB5" w:rsidP="00893E67">
            <w:pPr>
              <w:pStyle w:val="Ttulo1"/>
              <w:spacing w:before="94"/>
              <w:jc w:val="center"/>
            </w:pPr>
            <w:r>
              <w:t xml:space="preserve">SALDO AL </w:t>
            </w:r>
          </w:p>
          <w:p w14:paraId="5E0560E8" w14:textId="4FE055B1" w:rsidR="00453BB5" w:rsidRDefault="00A15573" w:rsidP="00A15573">
            <w:pPr>
              <w:pStyle w:val="Ttulo1"/>
              <w:spacing w:before="94"/>
              <w:jc w:val="center"/>
            </w:pPr>
            <w:r>
              <w:t>31-MARZO</w:t>
            </w:r>
            <w:r w:rsidR="00453BB5">
              <w:t>-202</w:t>
            </w:r>
            <w:r w:rsidR="00396356">
              <w:t>3</w:t>
            </w:r>
          </w:p>
        </w:tc>
        <w:tc>
          <w:tcPr>
            <w:tcW w:w="2841" w:type="dxa"/>
          </w:tcPr>
          <w:p w14:paraId="0F639E6B" w14:textId="77777777" w:rsidR="00453BB5" w:rsidRDefault="00453BB5" w:rsidP="00893E67">
            <w:pPr>
              <w:pStyle w:val="Ttulo1"/>
              <w:spacing w:before="94"/>
              <w:jc w:val="center"/>
            </w:pPr>
            <w:r>
              <w:t>SALDO AL</w:t>
            </w:r>
          </w:p>
          <w:p w14:paraId="7BC12531" w14:textId="0F898275" w:rsidR="00453BB5" w:rsidRDefault="00A15573" w:rsidP="004053B0">
            <w:pPr>
              <w:pStyle w:val="Ttulo1"/>
              <w:spacing w:before="94"/>
              <w:jc w:val="center"/>
            </w:pPr>
            <w:r>
              <w:t>31-MARZO</w:t>
            </w:r>
            <w:r w:rsidR="00396356">
              <w:t>-2022</w:t>
            </w:r>
          </w:p>
        </w:tc>
      </w:tr>
      <w:tr w:rsidR="00453BB5" w:rsidRPr="005D3FB1" w14:paraId="061994FA" w14:textId="77777777" w:rsidTr="005F1E3A">
        <w:trPr>
          <w:jc w:val="center"/>
        </w:trPr>
        <w:tc>
          <w:tcPr>
            <w:tcW w:w="3752" w:type="dxa"/>
          </w:tcPr>
          <w:p w14:paraId="52AEF199" w14:textId="77777777" w:rsidR="00453BB5" w:rsidRPr="00137008" w:rsidRDefault="00453BB5" w:rsidP="00893E67">
            <w:pPr>
              <w:pStyle w:val="Ttulo1"/>
              <w:spacing w:before="94"/>
            </w:pPr>
            <w:r>
              <w:t>CADENAS PRODUCTIVAS NAFIN</w:t>
            </w:r>
          </w:p>
          <w:p w14:paraId="1C77570C" w14:textId="77777777" w:rsidR="00453BB5" w:rsidRDefault="00453BB5" w:rsidP="00893E67">
            <w:pPr>
              <w:pStyle w:val="Ttulo1"/>
              <w:spacing w:before="94"/>
              <w:rPr>
                <w:b w:val="0"/>
              </w:rPr>
            </w:pPr>
            <w:r>
              <w:rPr>
                <w:b w:val="0"/>
              </w:rPr>
              <w:t>HSBC</w:t>
            </w:r>
            <w:r w:rsidR="00245F80">
              <w:rPr>
                <w:b w:val="0"/>
              </w:rPr>
              <w:t xml:space="preserve"> México, S.A.</w:t>
            </w:r>
          </w:p>
          <w:p w14:paraId="29532062" w14:textId="77777777" w:rsidR="00453BB5" w:rsidRPr="002B73F4" w:rsidRDefault="00453BB5" w:rsidP="00893E67">
            <w:pPr>
              <w:pStyle w:val="Ttulo1"/>
              <w:spacing w:before="94"/>
              <w:rPr>
                <w:b w:val="0"/>
                <w:lang w:val="en-US"/>
              </w:rPr>
            </w:pPr>
            <w:r w:rsidRPr="002B73F4">
              <w:rPr>
                <w:b w:val="0"/>
                <w:lang w:val="en-US"/>
              </w:rPr>
              <w:t>BBVA</w:t>
            </w:r>
            <w:r w:rsidR="00E77A49" w:rsidRPr="002B73F4">
              <w:rPr>
                <w:b w:val="0"/>
                <w:lang w:val="en-US"/>
              </w:rPr>
              <w:t xml:space="preserve"> </w:t>
            </w:r>
            <w:proofErr w:type="spellStart"/>
            <w:r w:rsidR="00E77A49" w:rsidRPr="002B73F4">
              <w:rPr>
                <w:b w:val="0"/>
                <w:lang w:val="en-US"/>
              </w:rPr>
              <w:t>Bancomer</w:t>
            </w:r>
            <w:proofErr w:type="spellEnd"/>
            <w:r w:rsidR="00E77A49" w:rsidRPr="002B73F4">
              <w:rPr>
                <w:b w:val="0"/>
                <w:lang w:val="en-US"/>
              </w:rPr>
              <w:t>, S.A.</w:t>
            </w:r>
          </w:p>
          <w:p w14:paraId="36E938CF" w14:textId="77777777" w:rsidR="00453BB5" w:rsidRPr="002B73F4" w:rsidRDefault="00453BB5" w:rsidP="00893E67">
            <w:pPr>
              <w:pStyle w:val="Ttulo1"/>
              <w:spacing w:before="94"/>
              <w:rPr>
                <w:b w:val="0"/>
                <w:lang w:val="en-US"/>
              </w:rPr>
            </w:pPr>
          </w:p>
        </w:tc>
        <w:tc>
          <w:tcPr>
            <w:tcW w:w="1985" w:type="dxa"/>
          </w:tcPr>
          <w:p w14:paraId="2C3520DC" w14:textId="77777777" w:rsidR="00453BB5" w:rsidRPr="005D3FB1" w:rsidRDefault="00453BB5" w:rsidP="00893E67">
            <w:pPr>
              <w:pStyle w:val="Ttulo1"/>
              <w:spacing w:before="94"/>
              <w:rPr>
                <w:rFonts w:ascii="Arial MT" w:hAnsi="Arial MT"/>
                <w:lang w:val="en-US"/>
              </w:rPr>
            </w:pPr>
          </w:p>
          <w:p w14:paraId="0D3A7297" w14:textId="6851FA57" w:rsidR="00453BB5" w:rsidRPr="005D3FB1" w:rsidRDefault="00453BB5" w:rsidP="00860887">
            <w:pPr>
              <w:pStyle w:val="Ttulo1"/>
              <w:spacing w:before="94"/>
              <w:jc w:val="right"/>
              <w:rPr>
                <w:rFonts w:ascii="Arial MT" w:hAnsi="Arial MT"/>
                <w:b w:val="0"/>
              </w:rPr>
            </w:pPr>
            <w:r w:rsidRPr="005D3FB1">
              <w:rPr>
                <w:rFonts w:ascii="Arial MT" w:hAnsi="Arial MT"/>
                <w:b w:val="0"/>
              </w:rPr>
              <w:t>100,000,000</w:t>
            </w:r>
          </w:p>
          <w:p w14:paraId="4B3862C7" w14:textId="60459C12" w:rsidR="00453BB5" w:rsidRPr="005D3FB1" w:rsidRDefault="00453BB5" w:rsidP="00397119">
            <w:pPr>
              <w:pStyle w:val="Ttulo1"/>
              <w:spacing w:before="94"/>
              <w:jc w:val="right"/>
              <w:rPr>
                <w:rFonts w:ascii="Arial MT" w:hAnsi="Arial MT"/>
                <w:b w:val="0"/>
              </w:rPr>
            </w:pPr>
            <w:r w:rsidRPr="005D3FB1">
              <w:rPr>
                <w:rFonts w:ascii="Arial MT" w:hAnsi="Arial MT"/>
                <w:b w:val="0"/>
              </w:rPr>
              <w:t>100,000,000</w:t>
            </w:r>
          </w:p>
          <w:p w14:paraId="4D323EA4" w14:textId="77777777" w:rsidR="008E6F98" w:rsidRPr="005D3FB1" w:rsidRDefault="008E6F98" w:rsidP="00860887">
            <w:pPr>
              <w:pStyle w:val="Ttulo1"/>
              <w:spacing w:before="94"/>
              <w:jc w:val="right"/>
              <w:rPr>
                <w:rFonts w:ascii="Arial MT" w:hAnsi="Arial MT"/>
                <w:b w:val="0"/>
              </w:rPr>
            </w:pPr>
            <w:r w:rsidRPr="005D3FB1">
              <w:rPr>
                <w:rFonts w:ascii="Arial MT" w:hAnsi="Arial MT"/>
                <w:noProof/>
                <w:sz w:val="2"/>
                <w:lang w:val="en-US"/>
              </w:rPr>
              <mc:AlternateContent>
                <mc:Choice Requires="wpg">
                  <w:drawing>
                    <wp:inline distT="0" distB="0" distL="0" distR="0" wp14:anchorId="20F2B415" wp14:editId="19F33B29">
                      <wp:extent cx="1080770" cy="6350"/>
                      <wp:effectExtent l="0" t="0" r="0" b="444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1B545B"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xwIAAEg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BL63mv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tc>
        <w:tc>
          <w:tcPr>
            <w:tcW w:w="2564" w:type="dxa"/>
          </w:tcPr>
          <w:p w14:paraId="1B99E4F5" w14:textId="77777777" w:rsidR="00453BB5" w:rsidRPr="005D3FB1" w:rsidRDefault="00453BB5" w:rsidP="00893E67">
            <w:pPr>
              <w:pStyle w:val="Ttulo1"/>
              <w:spacing w:before="94"/>
              <w:rPr>
                <w:rFonts w:ascii="Arial MT" w:hAnsi="Arial MT"/>
              </w:rPr>
            </w:pPr>
          </w:p>
          <w:p w14:paraId="79F15A80" w14:textId="28CF85B5" w:rsidR="00FC2C34" w:rsidRDefault="00A15573" w:rsidP="00860887">
            <w:pPr>
              <w:pStyle w:val="Ttulo1"/>
              <w:spacing w:before="94"/>
              <w:jc w:val="right"/>
              <w:rPr>
                <w:rFonts w:ascii="Arial MT" w:hAnsi="Arial MT"/>
                <w:b w:val="0"/>
              </w:rPr>
            </w:pPr>
            <w:r>
              <w:rPr>
                <w:rFonts w:ascii="Arial MT" w:hAnsi="Arial MT"/>
                <w:b w:val="0"/>
              </w:rPr>
              <w:t>14,751,654</w:t>
            </w:r>
          </w:p>
          <w:p w14:paraId="2A90593E" w14:textId="30EEAED6" w:rsidR="0065346E" w:rsidRDefault="00A15573" w:rsidP="0065346E">
            <w:pPr>
              <w:pStyle w:val="Ttulo1"/>
              <w:spacing w:before="94"/>
              <w:jc w:val="right"/>
              <w:rPr>
                <w:rFonts w:ascii="Arial MT" w:hAnsi="Arial MT"/>
                <w:b w:val="0"/>
              </w:rPr>
            </w:pPr>
            <w:r>
              <w:rPr>
                <w:rFonts w:ascii="Arial MT" w:hAnsi="Arial MT"/>
                <w:b w:val="0"/>
              </w:rPr>
              <w:t>56,464,687</w:t>
            </w:r>
          </w:p>
          <w:p w14:paraId="4591B7D6" w14:textId="74E330EE" w:rsidR="008E6F98" w:rsidRPr="005D3FB1" w:rsidRDefault="008E6F98" w:rsidP="00397119">
            <w:pPr>
              <w:pStyle w:val="Ttulo1"/>
              <w:spacing w:before="94"/>
              <w:jc w:val="right"/>
              <w:rPr>
                <w:rFonts w:ascii="Arial MT" w:hAnsi="Arial MT"/>
                <w:b w:val="0"/>
              </w:rPr>
            </w:pPr>
            <w:r w:rsidRPr="005D3FB1">
              <w:rPr>
                <w:rFonts w:ascii="Arial MT" w:hAnsi="Arial MT"/>
                <w:noProof/>
                <w:sz w:val="2"/>
                <w:lang w:val="en-US"/>
              </w:rPr>
              <mc:AlternateContent>
                <mc:Choice Requires="wpg">
                  <w:drawing>
                    <wp:inline distT="0" distB="0" distL="0" distR="0" wp14:anchorId="233149D8" wp14:editId="34EAB4EB">
                      <wp:extent cx="1080770" cy="6350"/>
                      <wp:effectExtent l="0" t="0" r="0" b="4445"/>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6A9C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n+UvX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841" w:type="dxa"/>
          </w:tcPr>
          <w:p w14:paraId="02467220" w14:textId="77777777" w:rsidR="00453BB5" w:rsidRPr="005D3FB1" w:rsidRDefault="00453BB5" w:rsidP="00893E67">
            <w:pPr>
              <w:pStyle w:val="Ttulo1"/>
              <w:spacing w:before="94"/>
              <w:jc w:val="right"/>
              <w:rPr>
                <w:rFonts w:ascii="Arial MT" w:hAnsi="Arial MT"/>
              </w:rPr>
            </w:pPr>
          </w:p>
          <w:p w14:paraId="6394DFE2" w14:textId="055EFF29" w:rsidR="00453BB5" w:rsidRPr="005D3FB1" w:rsidRDefault="00397119" w:rsidP="00893E67">
            <w:pPr>
              <w:pStyle w:val="Ttulo1"/>
              <w:spacing w:before="94"/>
              <w:jc w:val="right"/>
              <w:rPr>
                <w:rFonts w:ascii="Arial MT" w:hAnsi="Arial MT"/>
                <w:b w:val="0"/>
              </w:rPr>
            </w:pPr>
            <w:r>
              <w:rPr>
                <w:rFonts w:ascii="Arial MT" w:hAnsi="Arial MT"/>
                <w:b w:val="0"/>
              </w:rPr>
              <w:t>0</w:t>
            </w:r>
          </w:p>
          <w:p w14:paraId="6668FABD" w14:textId="5F80216F" w:rsidR="00453BB5" w:rsidRPr="005D3FB1" w:rsidRDefault="00397119" w:rsidP="00397119">
            <w:pPr>
              <w:pStyle w:val="Ttulo1"/>
              <w:spacing w:before="94"/>
              <w:jc w:val="right"/>
              <w:rPr>
                <w:rFonts w:ascii="Arial MT" w:hAnsi="Arial MT"/>
                <w:b w:val="0"/>
              </w:rPr>
            </w:pPr>
            <w:r>
              <w:rPr>
                <w:rFonts w:ascii="Arial MT" w:hAnsi="Arial MT"/>
                <w:b w:val="0"/>
              </w:rPr>
              <w:t>0</w:t>
            </w:r>
          </w:p>
          <w:p w14:paraId="64680876" w14:textId="77777777" w:rsidR="008E6F98" w:rsidRPr="005D3FB1" w:rsidRDefault="008E6F98" w:rsidP="00893E67">
            <w:pPr>
              <w:pStyle w:val="Ttulo1"/>
              <w:spacing w:before="94"/>
              <w:jc w:val="right"/>
              <w:rPr>
                <w:rFonts w:ascii="Arial MT" w:hAnsi="Arial MT"/>
              </w:rPr>
            </w:pPr>
            <w:r w:rsidRPr="005D3FB1">
              <w:rPr>
                <w:rFonts w:ascii="Arial MT" w:hAnsi="Arial MT"/>
                <w:noProof/>
                <w:sz w:val="2"/>
                <w:lang w:val="en-US"/>
              </w:rPr>
              <mc:AlternateContent>
                <mc:Choice Requires="wpg">
                  <w:drawing>
                    <wp:inline distT="0" distB="0" distL="0" distR="0" wp14:anchorId="2B2B5FDB" wp14:editId="3A092F26">
                      <wp:extent cx="1080770" cy="6350"/>
                      <wp:effectExtent l="0" t="0" r="0" b="4445"/>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88D4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r>
      <w:tr w:rsidR="00453BB5" w:rsidRPr="005D3FB1" w14:paraId="230AB75E" w14:textId="77777777" w:rsidTr="005F1E3A">
        <w:trPr>
          <w:jc w:val="center"/>
        </w:trPr>
        <w:tc>
          <w:tcPr>
            <w:tcW w:w="3752" w:type="dxa"/>
          </w:tcPr>
          <w:p w14:paraId="1E74E2D6" w14:textId="77777777" w:rsidR="00453BB5" w:rsidRDefault="00453BB5" w:rsidP="00893E67">
            <w:pPr>
              <w:pStyle w:val="Ttulo1"/>
              <w:spacing w:before="94"/>
              <w:jc w:val="center"/>
            </w:pPr>
            <w:r>
              <w:t>TOTALES</w:t>
            </w:r>
          </w:p>
        </w:tc>
        <w:tc>
          <w:tcPr>
            <w:tcW w:w="1985" w:type="dxa"/>
          </w:tcPr>
          <w:p w14:paraId="052EDF12" w14:textId="59958BEB" w:rsidR="00453BB5" w:rsidRPr="0090543C" w:rsidRDefault="00397119" w:rsidP="007051E1">
            <w:pPr>
              <w:pStyle w:val="Ttulo1"/>
              <w:spacing w:before="94"/>
              <w:jc w:val="right"/>
              <w:rPr>
                <w:rFonts w:ascii="Arial MT" w:hAnsi="Arial MT"/>
                <w:u w:val="single"/>
              </w:rPr>
            </w:pPr>
            <w:r>
              <w:rPr>
                <w:rFonts w:ascii="Arial MT" w:hAnsi="Arial MT"/>
                <w:u w:val="single"/>
              </w:rPr>
              <w:t>$2</w:t>
            </w:r>
            <w:r w:rsidR="00453BB5" w:rsidRPr="0090543C">
              <w:rPr>
                <w:rFonts w:ascii="Arial MT" w:hAnsi="Arial MT"/>
                <w:u w:val="single"/>
              </w:rPr>
              <w:t>00,000,000</w:t>
            </w:r>
          </w:p>
        </w:tc>
        <w:tc>
          <w:tcPr>
            <w:tcW w:w="2564" w:type="dxa"/>
          </w:tcPr>
          <w:p w14:paraId="72307946" w14:textId="56D5259F" w:rsidR="00453BB5" w:rsidRPr="0090543C" w:rsidRDefault="00825377" w:rsidP="00A15573">
            <w:pPr>
              <w:pStyle w:val="Ttulo1"/>
              <w:spacing w:before="94"/>
              <w:jc w:val="right"/>
              <w:rPr>
                <w:rFonts w:ascii="Arial MT" w:hAnsi="Arial MT"/>
                <w:u w:val="single"/>
              </w:rPr>
            </w:pPr>
            <w:r>
              <w:rPr>
                <w:rFonts w:ascii="Arial MT" w:hAnsi="Arial MT"/>
                <w:u w:val="single"/>
              </w:rPr>
              <w:t xml:space="preserve">   </w:t>
            </w:r>
            <w:r w:rsidR="00453BB5" w:rsidRPr="0090543C">
              <w:rPr>
                <w:rFonts w:ascii="Arial MT" w:hAnsi="Arial MT"/>
                <w:u w:val="single"/>
              </w:rPr>
              <w:t>$</w:t>
            </w:r>
            <w:r w:rsidR="00A15573">
              <w:rPr>
                <w:rFonts w:ascii="Arial MT" w:hAnsi="Arial MT"/>
                <w:u w:val="single"/>
              </w:rPr>
              <w:t>71,216,341</w:t>
            </w:r>
          </w:p>
        </w:tc>
        <w:tc>
          <w:tcPr>
            <w:tcW w:w="2841" w:type="dxa"/>
          </w:tcPr>
          <w:p w14:paraId="48A95410" w14:textId="44EB9CE0" w:rsidR="00453BB5" w:rsidRPr="0090543C" w:rsidRDefault="00C50AC6" w:rsidP="00397119">
            <w:pPr>
              <w:pStyle w:val="Ttulo1"/>
              <w:spacing w:before="94"/>
              <w:jc w:val="right"/>
              <w:rPr>
                <w:rFonts w:ascii="Arial MT" w:hAnsi="Arial MT"/>
                <w:u w:val="single"/>
              </w:rPr>
            </w:pPr>
            <w:r>
              <w:rPr>
                <w:rFonts w:ascii="Arial MT" w:hAnsi="Arial MT"/>
                <w:u w:val="single"/>
              </w:rPr>
              <w:t xml:space="preserve">  </w:t>
            </w:r>
            <w:r w:rsidR="001F1B26">
              <w:rPr>
                <w:rFonts w:ascii="Arial MT" w:hAnsi="Arial MT"/>
                <w:u w:val="single"/>
              </w:rPr>
              <w:t>________</w:t>
            </w:r>
            <w:r>
              <w:rPr>
                <w:rFonts w:ascii="Arial MT" w:hAnsi="Arial MT"/>
                <w:u w:val="single"/>
              </w:rPr>
              <w:t xml:space="preserve">   </w:t>
            </w:r>
            <w:r w:rsidR="00825377">
              <w:rPr>
                <w:rFonts w:ascii="Arial MT" w:hAnsi="Arial MT"/>
                <w:u w:val="single"/>
              </w:rPr>
              <w:t xml:space="preserve">   </w:t>
            </w:r>
            <w:r w:rsidR="00DA105B">
              <w:rPr>
                <w:rFonts w:ascii="Arial MT" w:hAnsi="Arial MT"/>
                <w:u w:val="single"/>
              </w:rPr>
              <w:t>$</w:t>
            </w:r>
            <w:r w:rsidR="00397119">
              <w:rPr>
                <w:rFonts w:ascii="Arial MT" w:hAnsi="Arial MT"/>
                <w:u w:val="single"/>
              </w:rPr>
              <w:t>0</w:t>
            </w:r>
          </w:p>
        </w:tc>
      </w:tr>
    </w:tbl>
    <w:p w14:paraId="6D29448C" w14:textId="4353D9C3" w:rsidR="00453BB5" w:rsidRDefault="00453BB5" w:rsidP="00453BB5">
      <w:pPr>
        <w:pStyle w:val="Ttulo1"/>
        <w:spacing w:before="94"/>
        <w:ind w:left="570"/>
      </w:pPr>
      <w:r>
        <w:t xml:space="preserve"> </w:t>
      </w:r>
    </w:p>
    <w:p w14:paraId="63379FED" w14:textId="77777777" w:rsidR="00453BB5" w:rsidRDefault="00453BB5" w:rsidP="00453BB5">
      <w:pPr>
        <w:pStyle w:val="Ttulo1"/>
        <w:spacing w:before="94"/>
        <w:ind w:left="570"/>
      </w:pPr>
    </w:p>
    <w:p w14:paraId="67FF24AE" w14:textId="3236E2A9" w:rsidR="00453BB5" w:rsidRPr="00137008" w:rsidRDefault="00453BB5" w:rsidP="004053B0">
      <w:pPr>
        <w:pStyle w:val="Ttulo1"/>
        <w:spacing w:before="94"/>
        <w:ind w:left="570" w:right="-232"/>
        <w:rPr>
          <w:b w:val="0"/>
        </w:rPr>
      </w:pPr>
      <w:r w:rsidRPr="00137008">
        <w:rPr>
          <w:b w:val="0"/>
        </w:rPr>
        <w:t xml:space="preserve">Cabe señalar </w:t>
      </w:r>
      <w:r>
        <w:rPr>
          <w:b w:val="0"/>
        </w:rPr>
        <w:t>es</w:t>
      </w:r>
      <w:r w:rsidRPr="00137008">
        <w:rPr>
          <w:b w:val="0"/>
        </w:rPr>
        <w:t xml:space="preserve"> una línea de crédito </w:t>
      </w:r>
      <w:r>
        <w:rPr>
          <w:b w:val="0"/>
        </w:rPr>
        <w:t>de</w:t>
      </w:r>
      <w:r w:rsidRPr="00137008">
        <w:rPr>
          <w:b w:val="0"/>
        </w:rPr>
        <w:t xml:space="preserve"> Factoraje Financiero </w:t>
      </w:r>
      <w:r>
        <w:rPr>
          <w:b w:val="0"/>
        </w:rPr>
        <w:t>por</w:t>
      </w:r>
      <w:r w:rsidR="00397119">
        <w:rPr>
          <w:b w:val="0"/>
        </w:rPr>
        <w:t xml:space="preserve"> $2</w:t>
      </w:r>
      <w:r w:rsidRPr="00137008">
        <w:rPr>
          <w:b w:val="0"/>
        </w:rPr>
        <w:t xml:space="preserve">00 millones de pesos </w:t>
      </w:r>
      <w:r>
        <w:rPr>
          <w:b w:val="0"/>
        </w:rPr>
        <w:t>del</w:t>
      </w:r>
      <w:r w:rsidRPr="00137008">
        <w:rPr>
          <w:b w:val="0"/>
        </w:rPr>
        <w:t xml:space="preserve"> programa de pago a proveedores</w:t>
      </w:r>
      <w:r>
        <w:rPr>
          <w:b w:val="0"/>
        </w:rPr>
        <w:t>,</w:t>
      </w:r>
      <w:r w:rsidRPr="00137008">
        <w:rPr>
          <w:b w:val="0"/>
        </w:rPr>
        <w:t xml:space="preserve"> </w:t>
      </w:r>
      <w:r>
        <w:rPr>
          <w:b w:val="0"/>
        </w:rPr>
        <w:t>el</w:t>
      </w:r>
      <w:r w:rsidRPr="00137008">
        <w:rPr>
          <w:b w:val="0"/>
        </w:rPr>
        <w:t xml:space="preserve"> cual no constituye un DEUDA</w:t>
      </w:r>
      <w:r>
        <w:rPr>
          <w:b w:val="0"/>
        </w:rPr>
        <w:t xml:space="preserve"> P</w:t>
      </w:r>
      <w:r w:rsidR="00245F80">
        <w:rPr>
          <w:b w:val="0"/>
        </w:rPr>
        <w:t>Ú</w:t>
      </w:r>
      <w:r>
        <w:rPr>
          <w:b w:val="0"/>
        </w:rPr>
        <w:t>BLICA</w:t>
      </w:r>
      <w:r w:rsidRPr="00137008">
        <w:rPr>
          <w:b w:val="0"/>
        </w:rPr>
        <w:t xml:space="preserve">, debido que al término de cada tres meses esta Secretaria de Finanzas y Administración </w:t>
      </w:r>
      <w:r>
        <w:rPr>
          <w:b w:val="0"/>
        </w:rPr>
        <w:t>liquida</w:t>
      </w:r>
      <w:r w:rsidRPr="00137008">
        <w:rPr>
          <w:b w:val="0"/>
        </w:rPr>
        <w:t xml:space="preserve"> la cantidad cobrada por los proveedores</w:t>
      </w:r>
      <w:r>
        <w:rPr>
          <w:b w:val="0"/>
        </w:rPr>
        <w:t xml:space="preserve"> a los bancos</w:t>
      </w:r>
      <w:r w:rsidRPr="00137008">
        <w:rPr>
          <w:b w:val="0"/>
        </w:rPr>
        <w:t xml:space="preserve">. </w:t>
      </w:r>
    </w:p>
    <w:p w14:paraId="422F2265" w14:textId="77777777" w:rsidR="00453BB5" w:rsidRDefault="00453BB5" w:rsidP="00453BB5">
      <w:pPr>
        <w:pStyle w:val="Ttulo1"/>
        <w:spacing w:before="94"/>
        <w:ind w:left="570"/>
      </w:pPr>
    </w:p>
    <w:p w14:paraId="254747D9" w14:textId="77777777" w:rsidR="00453BB5" w:rsidRDefault="00453BB5" w:rsidP="00453BB5">
      <w:pPr>
        <w:pStyle w:val="Ttulo1"/>
        <w:spacing w:before="94"/>
        <w:ind w:left="570"/>
      </w:pPr>
    </w:p>
    <w:p w14:paraId="5EF43FCD" w14:textId="77777777" w:rsidR="005F1E3A" w:rsidRDefault="005F1E3A" w:rsidP="00453BB5">
      <w:pPr>
        <w:pStyle w:val="Ttulo1"/>
        <w:spacing w:before="94"/>
        <w:ind w:left="570"/>
      </w:pPr>
    </w:p>
    <w:p w14:paraId="5B407DDA" w14:textId="77777777" w:rsidR="005F1E3A" w:rsidRDefault="005F1E3A" w:rsidP="00453BB5">
      <w:pPr>
        <w:pStyle w:val="Ttulo1"/>
        <w:spacing w:before="94"/>
        <w:ind w:left="570"/>
      </w:pPr>
    </w:p>
    <w:p w14:paraId="542900FE" w14:textId="77777777" w:rsidR="005F1E3A" w:rsidRDefault="005F1E3A" w:rsidP="00453BB5">
      <w:pPr>
        <w:pStyle w:val="Ttulo1"/>
        <w:spacing w:before="94"/>
        <w:ind w:left="570"/>
      </w:pPr>
    </w:p>
    <w:p w14:paraId="4417E039" w14:textId="77777777" w:rsidR="005F1E3A" w:rsidRDefault="005F1E3A" w:rsidP="00453BB5">
      <w:pPr>
        <w:pStyle w:val="Ttulo1"/>
        <w:spacing w:before="94"/>
        <w:ind w:left="570"/>
      </w:pPr>
    </w:p>
    <w:p w14:paraId="6301BD47" w14:textId="77777777" w:rsidR="005F1E3A" w:rsidRDefault="005F1E3A" w:rsidP="00453BB5">
      <w:pPr>
        <w:pStyle w:val="Ttulo1"/>
        <w:spacing w:before="94"/>
        <w:ind w:left="570"/>
      </w:pPr>
    </w:p>
    <w:p w14:paraId="5A62BF2C" w14:textId="77777777" w:rsidR="00332355" w:rsidRDefault="00332355" w:rsidP="00F0113E">
      <w:pPr>
        <w:pStyle w:val="Ttulo1"/>
        <w:spacing w:before="94"/>
        <w:ind w:firstLine="570"/>
      </w:pPr>
    </w:p>
    <w:p w14:paraId="792A4ED3" w14:textId="77777777" w:rsidR="00332355" w:rsidRDefault="00332355" w:rsidP="00F0113E">
      <w:pPr>
        <w:pStyle w:val="Ttulo1"/>
        <w:spacing w:before="94"/>
        <w:ind w:firstLine="570"/>
      </w:pPr>
    </w:p>
    <w:p w14:paraId="526C347A" w14:textId="77777777" w:rsidR="00332355" w:rsidRDefault="00332355" w:rsidP="00F0113E">
      <w:pPr>
        <w:pStyle w:val="Ttulo1"/>
        <w:spacing w:before="94"/>
        <w:ind w:firstLine="570"/>
      </w:pPr>
    </w:p>
    <w:p w14:paraId="0F48D317" w14:textId="21C30A3B" w:rsidR="00453BB5" w:rsidRPr="005D5B68" w:rsidRDefault="00453BB5" w:rsidP="00F0113E">
      <w:pPr>
        <w:pStyle w:val="Ttulo1"/>
        <w:spacing w:before="94"/>
        <w:ind w:firstLine="57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453BB5">
      <w:pPr>
        <w:spacing w:before="195"/>
        <w:ind w:firstLine="57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1EB7A1DE" w:rsidR="00453BB5" w:rsidRPr="00F0113E" w:rsidRDefault="00245F80" w:rsidP="00F0113E">
      <w:pPr>
        <w:pStyle w:val="Textoindependiente"/>
        <w:spacing w:before="196"/>
        <w:ind w:left="570" w:right="-232"/>
      </w:pPr>
      <w:r>
        <w:t xml:space="preserve">Al </w:t>
      </w:r>
      <w:r w:rsidR="00A15573">
        <w:t>31</w:t>
      </w:r>
      <w:r w:rsidR="00453BB5">
        <w:rPr>
          <w:spacing w:val="1"/>
        </w:rPr>
        <w:t xml:space="preserve"> </w:t>
      </w:r>
      <w:r w:rsidR="00453BB5">
        <w:t>de</w:t>
      </w:r>
      <w:r w:rsidR="00453BB5">
        <w:rPr>
          <w:spacing w:val="1"/>
        </w:rPr>
        <w:t xml:space="preserve"> </w:t>
      </w:r>
      <w:r w:rsidR="00A15573">
        <w:rPr>
          <w:spacing w:val="1"/>
        </w:rPr>
        <w:t>marzo</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diciembre </w:t>
      </w:r>
      <w:proofErr w:type="gramStart"/>
      <w:r w:rsidR="00F0113E">
        <w:t xml:space="preserve">del </w:t>
      </w:r>
      <w:r w:rsidR="00F0113E" w:rsidRPr="005D3FB1">
        <w:rPr>
          <w:spacing w:val="-1"/>
        </w:rPr>
        <w:t xml:space="preserve"> </w:t>
      </w:r>
      <w:r w:rsidR="00F0113E" w:rsidRPr="005D3FB1">
        <w:t>202</w:t>
      </w:r>
      <w:r w:rsidR="00F0113E">
        <w:t>2</w:t>
      </w:r>
      <w:proofErr w:type="gramEnd"/>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DF1CB0">
            <w:pPr>
              <w:pStyle w:val="TableParagraph"/>
              <w:spacing w:before="123" w:line="240" w:lineRule="auto"/>
              <w:ind w:left="50"/>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DF1CB0">
            <w:pPr>
              <w:pStyle w:val="TableParagraph"/>
              <w:spacing w:before="4"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260E672A" w:rsidR="00DF1CB0" w:rsidRDefault="00A15573" w:rsidP="00DF1CB0">
            <w:pPr>
              <w:pStyle w:val="TableParagraph"/>
              <w:spacing w:before="125" w:line="240" w:lineRule="auto"/>
              <w:ind w:right="327"/>
            </w:pPr>
            <w:r>
              <w:t>686,455,265</w:t>
            </w:r>
          </w:p>
        </w:tc>
        <w:tc>
          <w:tcPr>
            <w:tcW w:w="2237" w:type="dxa"/>
          </w:tcPr>
          <w:p w14:paraId="3BC52394" w14:textId="4C641C3E" w:rsidR="00DF1CB0" w:rsidRPr="0010045F" w:rsidRDefault="00DF1CB0" w:rsidP="00DF1CB0">
            <w:pPr>
              <w:pStyle w:val="TableParagraph"/>
              <w:spacing w:before="125" w:line="240" w:lineRule="auto"/>
              <w:ind w:right="47"/>
            </w:pPr>
            <w:r>
              <w:t>696,559,779</w:t>
            </w:r>
          </w:p>
        </w:tc>
      </w:tr>
      <w:tr w:rsidR="00DF1CB0" w:rsidRPr="0010045F" w14:paraId="5DA67A9E" w14:textId="77777777" w:rsidTr="00893E67">
        <w:trPr>
          <w:trHeight w:val="919"/>
        </w:trPr>
        <w:tc>
          <w:tcPr>
            <w:tcW w:w="8211" w:type="dxa"/>
          </w:tcPr>
          <w:p w14:paraId="3FB2300A" w14:textId="77777777" w:rsidR="00DF1CB0" w:rsidRDefault="00DF1CB0" w:rsidP="00DF1CB0">
            <w:pPr>
              <w:pStyle w:val="TableParagraph"/>
              <w:spacing w:before="122" w:line="240" w:lineRule="auto"/>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DF1CB0">
            <w:pPr>
              <w:pStyle w:val="TableParagraph"/>
              <w:spacing w:before="2"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1CBCEA57" w:rsidR="00DF1CB0" w:rsidRDefault="00635401" w:rsidP="00DF1CB0">
            <w:pPr>
              <w:pStyle w:val="TableParagraph"/>
              <w:spacing w:before="124" w:line="240" w:lineRule="auto"/>
              <w:ind w:right="327"/>
            </w:pPr>
            <w:r>
              <w:t>641,363,20</w:t>
            </w:r>
            <w:r w:rsidR="0032159B">
              <w:t>4</w:t>
            </w:r>
          </w:p>
        </w:tc>
        <w:tc>
          <w:tcPr>
            <w:tcW w:w="2237" w:type="dxa"/>
          </w:tcPr>
          <w:p w14:paraId="04E03926" w14:textId="77777777" w:rsidR="00DF1CB0" w:rsidRDefault="00DF1CB0" w:rsidP="00DF1CB0">
            <w:pPr>
              <w:pStyle w:val="TableParagraph"/>
              <w:spacing w:before="124" w:line="240" w:lineRule="auto"/>
              <w:ind w:right="327"/>
            </w:pPr>
          </w:p>
          <w:p w14:paraId="33299784" w14:textId="28FD1257" w:rsidR="00DF1CB0" w:rsidRPr="0010045F" w:rsidRDefault="00DF1CB0" w:rsidP="00DF1CB0">
            <w:pPr>
              <w:pStyle w:val="TableParagraph"/>
              <w:spacing w:before="124" w:line="240" w:lineRule="auto"/>
              <w:ind w:right="46"/>
            </w:pPr>
            <w:r>
              <w:t>645,082,315</w:t>
            </w:r>
          </w:p>
        </w:tc>
      </w:tr>
      <w:tr w:rsidR="00453BB5" w:rsidRPr="0010045F" w14:paraId="7EEAEAE0" w14:textId="77777777" w:rsidTr="00893E67">
        <w:trPr>
          <w:trHeight w:val="1034"/>
        </w:trPr>
        <w:tc>
          <w:tcPr>
            <w:tcW w:w="8211" w:type="dxa"/>
          </w:tcPr>
          <w:p w14:paraId="56BAED2B" w14:textId="77777777" w:rsidR="00453BB5" w:rsidRDefault="00453BB5" w:rsidP="00893E67">
            <w:pPr>
              <w:pStyle w:val="TableParagraph"/>
              <w:spacing w:before="121" w:line="240" w:lineRule="auto"/>
              <w:ind w:left="50"/>
              <w:jc w:val="left"/>
              <w:rPr>
                <w:rFonts w:ascii="Arial"/>
                <w:b/>
              </w:rPr>
            </w:pPr>
          </w:p>
          <w:p w14:paraId="5C29686E" w14:textId="77777777" w:rsidR="00453BB5" w:rsidRDefault="00453BB5" w:rsidP="00893E67">
            <w:pPr>
              <w:pStyle w:val="TableParagraph"/>
              <w:spacing w:before="121" w:line="240" w:lineRule="auto"/>
              <w:ind w:left="50"/>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30F4FA3C" w:rsidR="00453BB5" w:rsidRDefault="00453BB5" w:rsidP="00893E67">
            <w:pPr>
              <w:pStyle w:val="TableParagraph"/>
              <w:spacing w:before="4" w:line="240" w:lineRule="auto"/>
              <w:ind w:left="50"/>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proofErr w:type="gramStart"/>
            <w:r>
              <w:t>Cero</w:t>
            </w:r>
            <w:r w:rsidR="0043553C">
              <w:t xml:space="preserve"> </w:t>
            </w:r>
            <w:r>
              <w:rPr>
                <w:spacing w:val="-58"/>
              </w:rPr>
              <w:t xml:space="preserve"> </w:t>
            </w:r>
            <w:r>
              <w:t>con</w:t>
            </w:r>
            <w:proofErr w:type="gramEnd"/>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893E67">
            <w:pPr>
              <w:pStyle w:val="TableParagraph"/>
              <w:tabs>
                <w:tab w:val="left" w:pos="1602"/>
              </w:tabs>
              <w:spacing w:line="236" w:lineRule="exact"/>
              <w:ind w:left="50"/>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893E67">
            <w:pPr>
              <w:pStyle w:val="TableParagraph"/>
              <w:tabs>
                <w:tab w:val="left" w:pos="1602"/>
              </w:tabs>
              <w:spacing w:line="232" w:lineRule="exact"/>
              <w:ind w:left="50"/>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893E67">
            <w:pPr>
              <w:pStyle w:val="TableParagraph"/>
              <w:tabs>
                <w:tab w:val="left" w:pos="1602"/>
              </w:tabs>
              <w:ind w:left="50"/>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893E67">
            <w:pPr>
              <w:pStyle w:val="TableParagraph"/>
              <w:tabs>
                <w:tab w:val="left" w:pos="1602"/>
              </w:tabs>
              <w:ind w:left="50"/>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893E67">
            <w:pPr>
              <w:pStyle w:val="TableParagraph"/>
              <w:tabs>
                <w:tab w:val="left" w:pos="1602"/>
              </w:tabs>
              <w:spacing w:line="229" w:lineRule="exact"/>
              <w:jc w:val="left"/>
              <w:rPr>
                <w:b/>
              </w:rPr>
            </w:pPr>
            <w:r w:rsidRPr="006D21BB">
              <w:rPr>
                <w:b/>
              </w:rPr>
              <w:t>Deuda Publica a Largo Plazo</w:t>
            </w:r>
          </w:p>
        </w:tc>
        <w:tc>
          <w:tcPr>
            <w:tcW w:w="2114" w:type="dxa"/>
          </w:tcPr>
          <w:p w14:paraId="1B117C85" w14:textId="568F5835" w:rsidR="00453BB5" w:rsidRPr="0097485D" w:rsidRDefault="00502A5D" w:rsidP="0032159B">
            <w:pPr>
              <w:pStyle w:val="TableParagraph"/>
              <w:spacing w:line="229" w:lineRule="exact"/>
              <w:ind w:right="328"/>
              <w:rPr>
                <w:b/>
                <w:u w:val="single"/>
              </w:rPr>
            </w:pPr>
            <w:r>
              <w:rPr>
                <w:noProof/>
                <w:sz w:val="2"/>
                <w:lang w:val="en-US"/>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D67C3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32159B">
              <w:rPr>
                <w:b/>
                <w:u w:val="single"/>
              </w:rPr>
              <w:t>1,989,555,099</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n-US"/>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1D894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45E33CF1"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2,003,378,724</w:t>
            </w:r>
          </w:p>
        </w:tc>
      </w:tr>
    </w:tbl>
    <w:p w14:paraId="69E37973" w14:textId="77777777" w:rsidR="00453BB5" w:rsidRDefault="00453BB5" w:rsidP="00453BB5">
      <w:pPr>
        <w:spacing w:line="229" w:lineRule="exact"/>
        <w:sectPr w:rsidR="00453BB5" w:rsidSect="004053B0">
          <w:type w:val="continuous"/>
          <w:pgSz w:w="15840" w:h="12240" w:orient="landscape"/>
          <w:pgMar w:top="1737" w:right="1665" w:bottom="902" w:left="799" w:header="428" w:footer="709" w:gutter="0"/>
          <w:cols w:space="720"/>
        </w:sectPr>
      </w:pPr>
    </w:p>
    <w:p w14:paraId="71AA3330" w14:textId="408A21C3" w:rsidR="00453BB5" w:rsidRDefault="00453BB5" w:rsidP="00F0113E">
      <w:pPr>
        <w:pStyle w:val="Textoindependiente"/>
        <w:spacing w:before="94"/>
        <w:ind w:left="27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453BB5">
      <w:pPr>
        <w:pStyle w:val="Textoindependiente"/>
        <w:spacing w:before="185"/>
        <w:ind w:left="27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418803D" w14:textId="3648299A" w:rsidR="00DB41EE" w:rsidRDefault="00DB41EE"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C01A7A" w:rsidRDefault="00A8476A" w:rsidP="00A8476A">
      <w:pPr>
        <w:pStyle w:val="Texto"/>
        <w:spacing w:after="0" w:line="240" w:lineRule="auto"/>
        <w:jc w:val="center"/>
        <w:rPr>
          <w:b/>
          <w:sz w:val="22"/>
          <w:szCs w:val="22"/>
          <w:lang w:val="es-MX"/>
        </w:rPr>
      </w:pPr>
      <w:r w:rsidRPr="00C01A7A">
        <w:rPr>
          <w:b/>
          <w:sz w:val="22"/>
          <w:szCs w:val="22"/>
          <w:lang w:val="es-MX"/>
        </w:rPr>
        <w:t>NOTAS A LOS ESTADOS FINANCIEROS</w:t>
      </w:r>
    </w:p>
    <w:p w14:paraId="1C8B1FEE" w14:textId="5952219F" w:rsidR="00A8476A" w:rsidRPr="00C01A7A" w:rsidRDefault="00A8476A" w:rsidP="00A8476A">
      <w:pPr>
        <w:pStyle w:val="Texto"/>
        <w:spacing w:after="0" w:line="240" w:lineRule="auto"/>
        <w:jc w:val="center"/>
        <w:rPr>
          <w:sz w:val="22"/>
          <w:szCs w:val="22"/>
          <w:lang w:val="es-MX"/>
        </w:rPr>
      </w:pPr>
      <w:r w:rsidRPr="00C01A7A">
        <w:rPr>
          <w:rFonts w:eastAsia="Calibri"/>
          <w:color w:val="000000"/>
          <w:sz w:val="24"/>
          <w:szCs w:val="24"/>
          <w:lang w:val="es-MX" w:eastAsia="es-MX"/>
        </w:rPr>
        <w:t xml:space="preserve"> </w:t>
      </w:r>
      <w:r w:rsidR="00893E67">
        <w:rPr>
          <w:rFonts w:eastAsia="Calibri"/>
          <w:b/>
          <w:bCs/>
          <w:color w:val="000000"/>
          <w:sz w:val="22"/>
          <w:szCs w:val="22"/>
          <w:lang w:val="es-MX" w:eastAsia="es-MX"/>
        </w:rPr>
        <w:t xml:space="preserve">AL </w:t>
      </w:r>
      <w:r w:rsidR="0032159B">
        <w:rPr>
          <w:rFonts w:eastAsia="Calibri"/>
          <w:b/>
          <w:bCs/>
          <w:color w:val="000000"/>
          <w:sz w:val="22"/>
          <w:szCs w:val="22"/>
          <w:lang w:val="es-MX" w:eastAsia="es-MX"/>
        </w:rPr>
        <w:t>31</w:t>
      </w:r>
      <w:r w:rsidR="00893E67">
        <w:rPr>
          <w:rFonts w:eastAsia="Calibri"/>
          <w:b/>
          <w:bCs/>
          <w:color w:val="000000"/>
          <w:sz w:val="22"/>
          <w:szCs w:val="22"/>
          <w:lang w:val="es-MX" w:eastAsia="es-MX"/>
        </w:rPr>
        <w:t xml:space="preserve"> </w:t>
      </w:r>
      <w:r w:rsidRPr="00C01A7A">
        <w:rPr>
          <w:rFonts w:eastAsia="Calibri"/>
          <w:b/>
          <w:bCs/>
          <w:color w:val="000000"/>
          <w:sz w:val="22"/>
          <w:szCs w:val="22"/>
          <w:lang w:val="es-MX" w:eastAsia="es-MX"/>
        </w:rPr>
        <w:t xml:space="preserve">DE </w:t>
      </w:r>
      <w:r w:rsidR="0032159B">
        <w:rPr>
          <w:rFonts w:eastAsia="Calibri"/>
          <w:b/>
          <w:bCs/>
          <w:color w:val="000000"/>
          <w:sz w:val="22"/>
          <w:szCs w:val="22"/>
          <w:lang w:val="es-MX" w:eastAsia="es-MX"/>
        </w:rPr>
        <w:t>MARZO</w:t>
      </w:r>
      <w:r w:rsidRPr="00C01A7A">
        <w:rPr>
          <w:rFonts w:eastAsia="Calibri"/>
          <w:b/>
          <w:bCs/>
          <w:color w:val="000000"/>
          <w:sz w:val="22"/>
          <w:szCs w:val="22"/>
          <w:lang w:val="es-MX" w:eastAsia="es-MX"/>
        </w:rPr>
        <w:t xml:space="preserve"> </w:t>
      </w:r>
      <w:r>
        <w:rPr>
          <w:rFonts w:eastAsia="Calibri"/>
          <w:b/>
          <w:bCs/>
          <w:color w:val="000000"/>
          <w:sz w:val="22"/>
          <w:szCs w:val="22"/>
          <w:lang w:val="es-MX" w:eastAsia="es-MX"/>
        </w:rPr>
        <w:t>DE 2023</w:t>
      </w:r>
    </w:p>
    <w:p w14:paraId="2054BC5D" w14:textId="77777777" w:rsidR="00A8476A" w:rsidRPr="00C01A7A" w:rsidRDefault="00A8476A" w:rsidP="00A8476A">
      <w:pPr>
        <w:pStyle w:val="Texto"/>
        <w:spacing w:after="0" w:line="240" w:lineRule="auto"/>
        <w:ind w:firstLine="0"/>
        <w:jc w:val="center"/>
        <w:rPr>
          <w:b/>
          <w:sz w:val="22"/>
          <w:szCs w:val="22"/>
          <w:lang w:val="es-MX"/>
        </w:rPr>
      </w:pPr>
      <w:r w:rsidRPr="00C01A7A">
        <w:rPr>
          <w:sz w:val="22"/>
          <w:szCs w:val="22"/>
          <w:lang w:val="es-MX"/>
        </w:rPr>
        <w:t xml:space="preserve"> </w:t>
      </w:r>
      <w:r w:rsidRPr="00C01A7A">
        <w:rPr>
          <w:b/>
          <w:sz w:val="22"/>
          <w:szCs w:val="22"/>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A8476A">
      <w:pPr>
        <w:pStyle w:val="Texto"/>
        <w:spacing w:after="0" w:line="240" w:lineRule="exact"/>
        <w:ind w:left="648"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A8476A">
      <w:pPr>
        <w:jc w:val="both"/>
        <w:rPr>
          <w:rFonts w:ascii="Arial" w:hAnsi="Arial" w:cs="Arial"/>
        </w:rPr>
      </w:pPr>
    </w:p>
    <w:p w14:paraId="22230B90" w14:textId="77777777" w:rsidR="00A8476A" w:rsidRPr="00C01A7A" w:rsidRDefault="00A8476A" w:rsidP="00A8476A">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A8476A">
      <w:pPr>
        <w:jc w:val="both"/>
        <w:rPr>
          <w:rFonts w:ascii="Arial" w:hAnsi="Arial" w:cs="Arial"/>
        </w:rPr>
      </w:pPr>
    </w:p>
    <w:p w14:paraId="6E80C86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A8476A">
      <w:pPr>
        <w:adjustRightInd w:val="0"/>
        <w:spacing w:after="252"/>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A8476A">
      <w:pPr>
        <w:adjustRightInd w:val="0"/>
        <w:jc w:val="both"/>
        <w:rPr>
          <w:rFonts w:ascii="Arial" w:hAnsi="Arial" w:cs="Arial"/>
          <w:color w:val="000000"/>
          <w:lang w:eastAsia="es-MX"/>
        </w:rPr>
      </w:pPr>
    </w:p>
    <w:p w14:paraId="10E7DE2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A8476A">
      <w:pPr>
        <w:adjustRightInd w:val="0"/>
        <w:jc w:val="both"/>
        <w:rPr>
          <w:rFonts w:ascii="Arial" w:hAnsi="Arial" w:cs="Arial"/>
          <w:color w:val="000000"/>
          <w:lang w:eastAsia="es-MX"/>
        </w:rPr>
      </w:pPr>
    </w:p>
    <w:p w14:paraId="5801A5A0" w14:textId="7213ADE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A8476A">
      <w:pPr>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A8476A">
      <w:pPr>
        <w:jc w:val="both"/>
        <w:rPr>
          <w:rFonts w:ascii="Arial" w:hAnsi="Arial" w:cs="Arial"/>
        </w:rPr>
      </w:pPr>
    </w:p>
    <w:p w14:paraId="32348E4D" w14:textId="77777777" w:rsidR="00A8476A" w:rsidRPr="00C01A7A" w:rsidRDefault="00A8476A" w:rsidP="00A8476A">
      <w:pPr>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A8476A">
      <w:pPr>
        <w:pStyle w:val="Texto"/>
        <w:numPr>
          <w:ilvl w:val="0"/>
          <w:numId w:val="13"/>
        </w:numPr>
        <w:spacing w:after="0" w:line="240" w:lineRule="exact"/>
        <w:rPr>
          <w:b/>
          <w:sz w:val="22"/>
          <w:szCs w:val="22"/>
          <w:lang w:val="es-MX"/>
        </w:rPr>
      </w:pPr>
      <w:r w:rsidRPr="00C01A7A">
        <w:rPr>
          <w:b/>
          <w:sz w:val="22"/>
          <w:szCs w:val="22"/>
          <w:lang w:val="es-MX"/>
        </w:rPr>
        <w:t>Cuentas de orden presupuestales.</w:t>
      </w:r>
    </w:p>
    <w:p w14:paraId="24E6747C" w14:textId="77777777" w:rsidR="00A8476A" w:rsidRPr="00C01A7A" w:rsidRDefault="00A8476A" w:rsidP="00A8476A">
      <w:pPr>
        <w:pStyle w:val="Texto"/>
        <w:spacing w:after="0" w:line="240" w:lineRule="exact"/>
        <w:ind w:left="648" w:firstLine="0"/>
        <w:rPr>
          <w:b/>
          <w:sz w:val="22"/>
          <w:szCs w:val="22"/>
          <w:lang w:val="es-MX"/>
        </w:rPr>
      </w:pPr>
    </w:p>
    <w:p w14:paraId="380F8C5E"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Ley de Ingresos:</w:t>
      </w:r>
    </w:p>
    <w:p w14:paraId="4788CB63" w14:textId="77777777" w:rsidR="00A8476A" w:rsidRPr="00C01A7A" w:rsidRDefault="00A8476A" w:rsidP="00A8476A">
      <w:pPr>
        <w:jc w:val="both"/>
        <w:rPr>
          <w:rFonts w:ascii="Arial" w:hAnsi="Arial" w:cs="Arial"/>
          <w:b/>
        </w:rPr>
      </w:pPr>
    </w:p>
    <w:p w14:paraId="65EF7B9D" w14:textId="6F26D165" w:rsidR="00A8476A" w:rsidRPr="00C01A7A" w:rsidRDefault="00A8476A" w:rsidP="00A8476A">
      <w:pPr>
        <w:jc w:val="both"/>
        <w:rPr>
          <w:rFonts w:ascii="Arial" w:hAnsi="Arial" w:cs="Arial"/>
        </w:rPr>
      </w:pPr>
      <w:r w:rsidRPr="00C01A7A">
        <w:rPr>
          <w:rFonts w:ascii="Arial" w:hAnsi="Arial" w:cs="Arial"/>
        </w:rPr>
        <w:t xml:space="preserve">Al </w:t>
      </w:r>
      <w:r w:rsidR="0032159B">
        <w:rPr>
          <w:rFonts w:ascii="Arial" w:hAnsi="Arial" w:cs="Arial"/>
        </w:rPr>
        <w:t>31</w:t>
      </w:r>
      <w:r w:rsidRPr="00C01A7A">
        <w:rPr>
          <w:rFonts w:ascii="Arial" w:hAnsi="Arial" w:cs="Arial"/>
        </w:rPr>
        <w:t xml:space="preserve"> de </w:t>
      </w:r>
      <w:r w:rsidR="0032159B">
        <w:rPr>
          <w:rFonts w:ascii="Arial" w:hAnsi="Arial" w:cs="Arial"/>
        </w:rPr>
        <w:t>marzo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261"/>
        <w:gridCol w:w="4574"/>
        <w:gridCol w:w="1701"/>
        <w:gridCol w:w="1701"/>
        <w:gridCol w:w="1701"/>
        <w:gridCol w:w="1701"/>
        <w:gridCol w:w="1843"/>
      </w:tblGrid>
      <w:tr w:rsidR="00A8476A" w:rsidRPr="0046189F" w14:paraId="0BBA6297"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7E5B5DEA"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000000" w:fill="9BC2E6"/>
            <w:noWrap/>
            <w:vAlign w:val="center"/>
            <w:hideMark/>
          </w:tcPr>
          <w:p w14:paraId="122EE84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000000" w:fill="9BC2E6"/>
            <w:vAlign w:val="center"/>
            <w:hideMark/>
          </w:tcPr>
          <w:p w14:paraId="2C92830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Por ejecutar</w:t>
            </w:r>
          </w:p>
        </w:tc>
      </w:tr>
      <w:tr w:rsidR="00A8476A" w:rsidRPr="0046189F" w14:paraId="5D280037"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8AA85C"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Estimada</w:t>
            </w:r>
          </w:p>
        </w:tc>
        <w:tc>
          <w:tcPr>
            <w:tcW w:w="1701" w:type="dxa"/>
            <w:tcBorders>
              <w:top w:val="nil"/>
              <w:left w:val="nil"/>
              <w:bottom w:val="single" w:sz="8" w:space="0" w:color="auto"/>
              <w:right w:val="single" w:sz="8" w:space="0" w:color="auto"/>
            </w:tcBorders>
            <w:shd w:val="clear" w:color="000000" w:fill="9BC2E6"/>
            <w:noWrap/>
            <w:vAlign w:val="center"/>
            <w:hideMark/>
          </w:tcPr>
          <w:p w14:paraId="53699AC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1563977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Devengada</w:t>
            </w:r>
          </w:p>
        </w:tc>
        <w:tc>
          <w:tcPr>
            <w:tcW w:w="1701" w:type="dxa"/>
            <w:tcBorders>
              <w:top w:val="nil"/>
              <w:left w:val="nil"/>
              <w:bottom w:val="single" w:sz="8" w:space="0" w:color="auto"/>
              <w:right w:val="single" w:sz="8" w:space="0" w:color="auto"/>
            </w:tcBorders>
            <w:shd w:val="clear" w:color="000000" w:fill="9BC2E6"/>
            <w:noWrap/>
            <w:vAlign w:val="center"/>
            <w:hideMark/>
          </w:tcPr>
          <w:p w14:paraId="28B67B89"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893E67">
        <w:trPr>
          <w:trHeight w:val="288"/>
        </w:trPr>
        <w:tc>
          <w:tcPr>
            <w:tcW w:w="26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810997E" w14:textId="48A22EA7"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604,228,663</w:t>
            </w:r>
          </w:p>
        </w:tc>
        <w:tc>
          <w:tcPr>
            <w:tcW w:w="1701" w:type="dxa"/>
            <w:tcBorders>
              <w:top w:val="nil"/>
              <w:left w:val="nil"/>
              <w:bottom w:val="nil"/>
              <w:right w:val="single" w:sz="8" w:space="0" w:color="auto"/>
            </w:tcBorders>
            <w:shd w:val="clear" w:color="000000" w:fill="FFFFFF"/>
            <w:noWrap/>
            <w:vAlign w:val="center"/>
          </w:tcPr>
          <w:p w14:paraId="3FDD4C31" w14:textId="04B91507"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604,228,663</w:t>
            </w:r>
          </w:p>
        </w:tc>
        <w:tc>
          <w:tcPr>
            <w:tcW w:w="1843" w:type="dxa"/>
            <w:tcBorders>
              <w:top w:val="nil"/>
              <w:left w:val="nil"/>
              <w:bottom w:val="nil"/>
              <w:right w:val="single" w:sz="8" w:space="0" w:color="auto"/>
            </w:tcBorders>
            <w:shd w:val="clear" w:color="000000" w:fill="FFFFFF"/>
            <w:noWrap/>
            <w:vAlign w:val="center"/>
          </w:tcPr>
          <w:p w14:paraId="27C0D057" w14:textId="2DD68201"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-990,417,198</w:t>
            </w:r>
          </w:p>
        </w:tc>
      </w:tr>
      <w:tr w:rsidR="00A8476A" w:rsidRPr="0046189F" w14:paraId="3F6F9D1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6BC36B0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30343E87"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216,980,666</w:t>
            </w:r>
          </w:p>
        </w:tc>
        <w:tc>
          <w:tcPr>
            <w:tcW w:w="1701" w:type="dxa"/>
            <w:tcBorders>
              <w:top w:val="nil"/>
              <w:left w:val="nil"/>
              <w:bottom w:val="nil"/>
              <w:right w:val="single" w:sz="8" w:space="0" w:color="auto"/>
            </w:tcBorders>
            <w:shd w:val="clear" w:color="000000" w:fill="FFFFFF"/>
            <w:noWrap/>
            <w:vAlign w:val="center"/>
          </w:tcPr>
          <w:p w14:paraId="22C5661B" w14:textId="057A367F"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216,980,666</w:t>
            </w:r>
          </w:p>
        </w:tc>
        <w:tc>
          <w:tcPr>
            <w:tcW w:w="1843" w:type="dxa"/>
            <w:tcBorders>
              <w:top w:val="nil"/>
              <w:left w:val="nil"/>
              <w:bottom w:val="nil"/>
              <w:right w:val="single" w:sz="8" w:space="0" w:color="auto"/>
            </w:tcBorders>
            <w:shd w:val="clear" w:color="000000" w:fill="FFFFFF"/>
            <w:noWrap/>
            <w:vAlign w:val="center"/>
          </w:tcPr>
          <w:p w14:paraId="09EAEBDC" w14:textId="6D5E60B4"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-475,868,543</w:t>
            </w:r>
          </w:p>
        </w:tc>
      </w:tr>
      <w:tr w:rsidR="00A8476A" w:rsidRPr="0046189F" w14:paraId="515D94B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34535659"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3,597,484</w:t>
            </w:r>
          </w:p>
        </w:tc>
        <w:tc>
          <w:tcPr>
            <w:tcW w:w="1701" w:type="dxa"/>
            <w:tcBorders>
              <w:top w:val="nil"/>
              <w:left w:val="nil"/>
              <w:bottom w:val="nil"/>
              <w:right w:val="single" w:sz="8" w:space="0" w:color="auto"/>
            </w:tcBorders>
            <w:shd w:val="clear" w:color="000000" w:fill="FFFFFF"/>
            <w:noWrap/>
            <w:vAlign w:val="center"/>
          </w:tcPr>
          <w:p w14:paraId="668BA364" w14:textId="1C0AE51A"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3,597,484</w:t>
            </w:r>
          </w:p>
        </w:tc>
        <w:tc>
          <w:tcPr>
            <w:tcW w:w="1843" w:type="dxa"/>
            <w:tcBorders>
              <w:top w:val="nil"/>
              <w:left w:val="nil"/>
              <w:bottom w:val="nil"/>
              <w:right w:val="single" w:sz="8" w:space="0" w:color="auto"/>
            </w:tcBorders>
            <w:shd w:val="clear" w:color="000000" w:fill="FFFFFF"/>
            <w:noWrap/>
            <w:vAlign w:val="center"/>
          </w:tcPr>
          <w:p w14:paraId="16082419" w14:textId="0B560C0D"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-12,945,526</w:t>
            </w:r>
          </w:p>
        </w:tc>
      </w:tr>
      <w:tr w:rsidR="00A8476A" w:rsidRPr="0046189F" w14:paraId="7C3502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17739AFE"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274,989,132</w:t>
            </w:r>
          </w:p>
        </w:tc>
        <w:tc>
          <w:tcPr>
            <w:tcW w:w="1701" w:type="dxa"/>
            <w:tcBorders>
              <w:top w:val="nil"/>
              <w:left w:val="nil"/>
              <w:bottom w:val="nil"/>
              <w:right w:val="single" w:sz="8" w:space="0" w:color="auto"/>
            </w:tcBorders>
            <w:shd w:val="clear" w:color="000000" w:fill="FFFFFF"/>
            <w:noWrap/>
            <w:vAlign w:val="center"/>
          </w:tcPr>
          <w:p w14:paraId="14F1B330" w14:textId="46AE9EF2"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4,434,332</w:t>
            </w:r>
          </w:p>
        </w:tc>
        <w:tc>
          <w:tcPr>
            <w:tcW w:w="1701" w:type="dxa"/>
            <w:tcBorders>
              <w:top w:val="nil"/>
              <w:left w:val="nil"/>
              <w:bottom w:val="nil"/>
              <w:right w:val="single" w:sz="8" w:space="0" w:color="auto"/>
            </w:tcBorders>
            <w:shd w:val="clear" w:color="000000" w:fill="FFFFFF"/>
            <w:noWrap/>
            <w:vAlign w:val="center"/>
          </w:tcPr>
          <w:p w14:paraId="1773F0B6" w14:textId="244D8BD1"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4,434,332</w:t>
            </w:r>
          </w:p>
        </w:tc>
        <w:tc>
          <w:tcPr>
            <w:tcW w:w="1843" w:type="dxa"/>
            <w:tcBorders>
              <w:top w:val="nil"/>
              <w:left w:val="nil"/>
              <w:bottom w:val="nil"/>
              <w:right w:val="single" w:sz="8" w:space="0" w:color="auto"/>
            </w:tcBorders>
            <w:shd w:val="clear" w:color="000000" w:fill="FFFFFF"/>
            <w:noWrap/>
            <w:vAlign w:val="center"/>
          </w:tcPr>
          <w:p w14:paraId="55E63967" w14:textId="4FBCA1D9" w:rsidR="00A8476A" w:rsidRPr="0046189F"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-267,767,664</w:t>
            </w:r>
          </w:p>
        </w:tc>
      </w:tr>
      <w:tr w:rsidR="0032159B" w:rsidRPr="0046189F" w14:paraId="0319D0B0"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74945934"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E689BAE" w14:textId="5017D3C0"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1,011,245</w:t>
            </w:r>
          </w:p>
        </w:tc>
        <w:tc>
          <w:tcPr>
            <w:tcW w:w="1701" w:type="dxa"/>
            <w:tcBorders>
              <w:top w:val="nil"/>
              <w:left w:val="nil"/>
              <w:bottom w:val="nil"/>
              <w:right w:val="single" w:sz="8" w:space="0" w:color="auto"/>
            </w:tcBorders>
            <w:shd w:val="clear" w:color="000000" w:fill="FFFFFF"/>
            <w:noWrap/>
            <w:vAlign w:val="center"/>
          </w:tcPr>
          <w:p w14:paraId="6E294C15" w14:textId="08CC926F"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1,011,245</w:t>
            </w:r>
          </w:p>
        </w:tc>
        <w:tc>
          <w:tcPr>
            <w:tcW w:w="1843" w:type="dxa"/>
            <w:tcBorders>
              <w:top w:val="nil"/>
              <w:left w:val="nil"/>
              <w:bottom w:val="nil"/>
              <w:right w:val="single" w:sz="8" w:space="0" w:color="auto"/>
            </w:tcBorders>
            <w:shd w:val="clear" w:color="000000" w:fill="FFFFFF"/>
            <w:noWrap/>
            <w:vAlign w:val="center"/>
          </w:tcPr>
          <w:p w14:paraId="4158B4B8" w14:textId="1DA7376A"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-8,043,514</w:t>
            </w:r>
          </w:p>
        </w:tc>
      </w:tr>
      <w:tr w:rsidR="0032159B" w:rsidRPr="0046189F" w14:paraId="1FEAF48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30A3E8D9"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19,768,581,324</w:t>
            </w:r>
          </w:p>
        </w:tc>
        <w:tc>
          <w:tcPr>
            <w:tcW w:w="1701" w:type="dxa"/>
            <w:tcBorders>
              <w:top w:val="nil"/>
              <w:left w:val="nil"/>
              <w:bottom w:val="nil"/>
              <w:right w:val="single" w:sz="8" w:space="0" w:color="auto"/>
            </w:tcBorders>
            <w:shd w:val="clear" w:color="000000" w:fill="FFFFFF"/>
            <w:noWrap/>
            <w:vAlign w:val="center"/>
          </w:tcPr>
          <w:p w14:paraId="73953C21" w14:textId="27A14CAD"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4,815,443,286</w:t>
            </w:r>
          </w:p>
        </w:tc>
        <w:tc>
          <w:tcPr>
            <w:tcW w:w="1701" w:type="dxa"/>
            <w:tcBorders>
              <w:top w:val="nil"/>
              <w:left w:val="nil"/>
              <w:bottom w:val="nil"/>
              <w:right w:val="single" w:sz="8" w:space="0" w:color="auto"/>
            </w:tcBorders>
            <w:shd w:val="clear" w:color="000000" w:fill="FFFFFF"/>
            <w:noWrap/>
            <w:vAlign w:val="center"/>
          </w:tcPr>
          <w:p w14:paraId="3F30B86C" w14:textId="15402B74"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4,815,443,286</w:t>
            </w:r>
          </w:p>
        </w:tc>
        <w:tc>
          <w:tcPr>
            <w:tcW w:w="1843" w:type="dxa"/>
            <w:tcBorders>
              <w:top w:val="nil"/>
              <w:left w:val="nil"/>
              <w:bottom w:val="nil"/>
              <w:right w:val="single" w:sz="8" w:space="0" w:color="auto"/>
            </w:tcBorders>
            <w:shd w:val="clear" w:color="000000" w:fill="FFFFFF"/>
            <w:noWrap/>
            <w:vAlign w:val="center"/>
          </w:tcPr>
          <w:p w14:paraId="4B1FD995" w14:textId="3B4DC202"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-14,134,355,391</w:t>
            </w:r>
          </w:p>
        </w:tc>
      </w:tr>
      <w:tr w:rsidR="0032159B" w:rsidRPr="0046189F" w14:paraId="640603E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3741DEF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75138B36"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single" w:sz="8" w:space="0" w:color="auto"/>
              <w:right w:val="single" w:sz="8" w:space="0" w:color="auto"/>
            </w:tcBorders>
            <w:shd w:val="clear" w:color="000000" w:fill="FFFFFF"/>
            <w:noWrap/>
            <w:vAlign w:val="center"/>
            <w:hideMark/>
          </w:tcPr>
          <w:p w14:paraId="09D07C86"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32159B" w:rsidRPr="0046189F" w14:paraId="4B1950FE"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414C1DD4"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22,356,663,295</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469DB25B"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5,645,695,676</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3F114206"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5,645,695,676</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7310F869"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-15,889,397,836</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7FCE95B" w14:textId="77777777" w:rsidR="00CF43DB" w:rsidRDefault="00CF43DB"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lastRenderedPageBreak/>
        <w:t>Presupuesto de Egresos:</w:t>
      </w:r>
    </w:p>
    <w:p w14:paraId="5A94E7DE" w14:textId="77777777" w:rsidR="00A8476A" w:rsidRPr="00C01A7A" w:rsidRDefault="00A8476A" w:rsidP="00A8476A">
      <w:pPr>
        <w:jc w:val="both"/>
        <w:rPr>
          <w:rFonts w:ascii="Arial" w:hAnsi="Arial" w:cs="Arial"/>
          <w:b/>
        </w:rPr>
      </w:pPr>
    </w:p>
    <w:p w14:paraId="1D900B5D" w14:textId="5B71EC20" w:rsidR="00A8476A" w:rsidRPr="00C01A7A" w:rsidRDefault="00A8476A" w:rsidP="00A8476A">
      <w:pPr>
        <w:jc w:val="both"/>
        <w:rPr>
          <w:rFonts w:ascii="Arial" w:hAnsi="Arial" w:cs="Arial"/>
        </w:rPr>
      </w:pPr>
      <w:r w:rsidRPr="00C01A7A">
        <w:rPr>
          <w:rFonts w:ascii="Arial" w:hAnsi="Arial" w:cs="Arial"/>
        </w:rPr>
        <w:t xml:space="preserve">Al </w:t>
      </w:r>
      <w:r w:rsidR="0032159B">
        <w:rPr>
          <w:rFonts w:ascii="Arial" w:hAnsi="Arial" w:cs="Arial"/>
        </w:rPr>
        <w:t>31</w:t>
      </w:r>
      <w:r w:rsidRPr="00C01A7A">
        <w:rPr>
          <w:rFonts w:ascii="Arial" w:hAnsi="Arial" w:cs="Arial"/>
        </w:rPr>
        <w:t xml:space="preserve"> de </w:t>
      </w:r>
      <w:r w:rsidR="0032159B">
        <w:rPr>
          <w:rFonts w:ascii="Arial" w:hAnsi="Arial" w:cs="Arial"/>
        </w:rPr>
        <w:t>marzo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191"/>
        <w:gridCol w:w="4644"/>
        <w:gridCol w:w="1701"/>
        <w:gridCol w:w="1701"/>
        <w:gridCol w:w="1701"/>
        <w:gridCol w:w="1701"/>
        <w:gridCol w:w="1843"/>
      </w:tblGrid>
      <w:tr w:rsidR="00A8476A" w:rsidRPr="008E5563" w14:paraId="029260FA"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2D10A049"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000000" w:fill="9BC2E6"/>
            <w:noWrap/>
            <w:vAlign w:val="center"/>
            <w:hideMark/>
          </w:tcPr>
          <w:p w14:paraId="71E1E81C"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Presupuesto de Egresos</w:t>
            </w:r>
          </w:p>
        </w:tc>
      </w:tr>
      <w:tr w:rsidR="00A8476A" w:rsidRPr="008E5563" w14:paraId="60D820A1"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449F1263" w14:textId="77777777" w:rsidR="00A8476A" w:rsidRPr="008E5563"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91495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Aprobado</w:t>
            </w:r>
          </w:p>
        </w:tc>
        <w:tc>
          <w:tcPr>
            <w:tcW w:w="1701" w:type="dxa"/>
            <w:tcBorders>
              <w:top w:val="nil"/>
              <w:left w:val="nil"/>
              <w:bottom w:val="single" w:sz="8" w:space="0" w:color="auto"/>
              <w:right w:val="single" w:sz="8" w:space="0" w:color="auto"/>
            </w:tcBorders>
            <w:shd w:val="clear" w:color="000000" w:fill="9BC2E6"/>
            <w:noWrap/>
            <w:vAlign w:val="center"/>
            <w:hideMark/>
          </w:tcPr>
          <w:p w14:paraId="51B681BD"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619C1D47"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Devengado</w:t>
            </w:r>
          </w:p>
        </w:tc>
        <w:tc>
          <w:tcPr>
            <w:tcW w:w="1701" w:type="dxa"/>
            <w:tcBorders>
              <w:top w:val="nil"/>
              <w:left w:val="nil"/>
              <w:bottom w:val="single" w:sz="8" w:space="0" w:color="auto"/>
              <w:right w:val="single" w:sz="8" w:space="0" w:color="auto"/>
            </w:tcBorders>
            <w:shd w:val="clear" w:color="000000" w:fill="9BC2E6"/>
            <w:noWrap/>
            <w:vAlign w:val="center"/>
            <w:hideMark/>
          </w:tcPr>
          <w:p w14:paraId="3D1C2308"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Pagado</w:t>
            </w:r>
          </w:p>
        </w:tc>
        <w:tc>
          <w:tcPr>
            <w:tcW w:w="1843" w:type="dxa"/>
            <w:tcBorders>
              <w:top w:val="nil"/>
              <w:left w:val="nil"/>
              <w:bottom w:val="single" w:sz="8" w:space="0" w:color="auto"/>
              <w:right w:val="single" w:sz="8" w:space="0" w:color="auto"/>
            </w:tcBorders>
            <w:shd w:val="clear" w:color="000000" w:fill="9BC2E6"/>
            <w:noWrap/>
            <w:vAlign w:val="center"/>
            <w:hideMark/>
          </w:tcPr>
          <w:p w14:paraId="7B78B58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por ejercer</w:t>
            </w:r>
          </w:p>
        </w:tc>
      </w:tr>
      <w:tr w:rsidR="00A8476A" w:rsidRPr="008E5563" w14:paraId="55436621" w14:textId="77777777" w:rsidTr="00893E67">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1000   Servicios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3AD0D64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40A25E02"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440,046,235</w:t>
            </w:r>
          </w:p>
        </w:tc>
        <w:tc>
          <w:tcPr>
            <w:tcW w:w="1701" w:type="dxa"/>
            <w:tcBorders>
              <w:top w:val="nil"/>
              <w:left w:val="nil"/>
              <w:bottom w:val="nil"/>
              <w:right w:val="single" w:sz="8" w:space="0" w:color="auto"/>
            </w:tcBorders>
            <w:shd w:val="clear" w:color="000000" w:fill="FFFFFF"/>
            <w:noWrap/>
            <w:vAlign w:val="center"/>
          </w:tcPr>
          <w:p w14:paraId="20516451" w14:textId="1D036A8B"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433,679,781</w:t>
            </w:r>
          </w:p>
        </w:tc>
        <w:tc>
          <w:tcPr>
            <w:tcW w:w="1843" w:type="dxa"/>
            <w:tcBorders>
              <w:top w:val="nil"/>
              <w:left w:val="nil"/>
              <w:bottom w:val="nil"/>
              <w:right w:val="single" w:sz="8" w:space="0" w:color="auto"/>
            </w:tcBorders>
            <w:shd w:val="clear" w:color="000000" w:fill="FFFFFF"/>
            <w:noWrap/>
            <w:vAlign w:val="center"/>
          </w:tcPr>
          <w:p w14:paraId="6D8245B9" w14:textId="5DD4F9B2"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1,394,669,444</w:t>
            </w:r>
          </w:p>
        </w:tc>
      </w:tr>
      <w:tr w:rsidR="00A8476A" w:rsidRPr="008E5563" w14:paraId="199F538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2000  Materiales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27FBB2E0" w:rsidR="00A8476A" w:rsidRPr="008E5563" w:rsidRDefault="0032159B" w:rsidP="00F17DE8">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225,759,167</w:t>
            </w:r>
          </w:p>
        </w:tc>
        <w:tc>
          <w:tcPr>
            <w:tcW w:w="1701" w:type="dxa"/>
            <w:tcBorders>
              <w:top w:val="nil"/>
              <w:left w:val="nil"/>
              <w:bottom w:val="nil"/>
              <w:right w:val="single" w:sz="8" w:space="0" w:color="auto"/>
            </w:tcBorders>
            <w:shd w:val="clear" w:color="000000" w:fill="FFFFFF"/>
            <w:noWrap/>
            <w:vAlign w:val="center"/>
          </w:tcPr>
          <w:p w14:paraId="6562E170" w14:textId="38406DD7"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55,541,527</w:t>
            </w:r>
          </w:p>
        </w:tc>
        <w:tc>
          <w:tcPr>
            <w:tcW w:w="1701" w:type="dxa"/>
            <w:tcBorders>
              <w:top w:val="nil"/>
              <w:left w:val="nil"/>
              <w:bottom w:val="nil"/>
              <w:right w:val="single" w:sz="8" w:space="0" w:color="auto"/>
            </w:tcBorders>
            <w:shd w:val="clear" w:color="000000" w:fill="FFFFFF"/>
            <w:noWrap/>
            <w:vAlign w:val="center"/>
          </w:tcPr>
          <w:p w14:paraId="1D6F7FF9" w14:textId="2DB51FD9"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13,215,991</w:t>
            </w:r>
          </w:p>
        </w:tc>
        <w:tc>
          <w:tcPr>
            <w:tcW w:w="1843" w:type="dxa"/>
            <w:tcBorders>
              <w:top w:val="nil"/>
              <w:left w:val="nil"/>
              <w:bottom w:val="nil"/>
              <w:right w:val="single" w:sz="8" w:space="0" w:color="auto"/>
            </w:tcBorders>
            <w:shd w:val="clear" w:color="000000" w:fill="FFFFFF"/>
            <w:noWrap/>
            <w:vAlign w:val="center"/>
          </w:tcPr>
          <w:p w14:paraId="598D37B7" w14:textId="28232E48"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170,217,640</w:t>
            </w:r>
          </w:p>
        </w:tc>
      </w:tr>
      <w:tr w:rsidR="00A8476A" w:rsidRPr="008E5563" w14:paraId="240CDB65"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3000  Servicios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4CA4E87D"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346,040,380</w:t>
            </w:r>
          </w:p>
        </w:tc>
        <w:tc>
          <w:tcPr>
            <w:tcW w:w="1701" w:type="dxa"/>
            <w:tcBorders>
              <w:top w:val="nil"/>
              <w:left w:val="nil"/>
              <w:bottom w:val="nil"/>
              <w:right w:val="single" w:sz="8" w:space="0" w:color="auto"/>
            </w:tcBorders>
            <w:shd w:val="clear" w:color="000000" w:fill="FFFFFF"/>
            <w:noWrap/>
            <w:vAlign w:val="center"/>
          </w:tcPr>
          <w:p w14:paraId="6C8D0F4F" w14:textId="49267530"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68,138,848</w:t>
            </w:r>
          </w:p>
        </w:tc>
        <w:tc>
          <w:tcPr>
            <w:tcW w:w="1701" w:type="dxa"/>
            <w:tcBorders>
              <w:top w:val="nil"/>
              <w:left w:val="nil"/>
              <w:bottom w:val="nil"/>
              <w:right w:val="single" w:sz="8" w:space="0" w:color="auto"/>
            </w:tcBorders>
            <w:shd w:val="clear" w:color="000000" w:fill="FFFFFF"/>
            <w:noWrap/>
            <w:vAlign w:val="center"/>
          </w:tcPr>
          <w:p w14:paraId="7A91282E" w14:textId="12C3F889"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49,394,084</w:t>
            </w:r>
          </w:p>
        </w:tc>
        <w:tc>
          <w:tcPr>
            <w:tcW w:w="1843" w:type="dxa"/>
            <w:tcBorders>
              <w:top w:val="nil"/>
              <w:left w:val="nil"/>
              <w:bottom w:val="nil"/>
              <w:right w:val="single" w:sz="8" w:space="0" w:color="auto"/>
            </w:tcBorders>
            <w:shd w:val="clear" w:color="000000" w:fill="FFFFFF"/>
            <w:noWrap/>
            <w:vAlign w:val="center"/>
          </w:tcPr>
          <w:p w14:paraId="2DBF6EDD" w14:textId="4171DAF9"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277,901,532</w:t>
            </w:r>
          </w:p>
        </w:tc>
      </w:tr>
      <w:tr w:rsidR="00A8476A" w:rsidRPr="008E5563" w14:paraId="2F2CB742" w14:textId="77777777" w:rsidTr="00893E67">
        <w:trPr>
          <w:trHeight w:val="684"/>
        </w:trPr>
        <w:tc>
          <w:tcPr>
            <w:tcW w:w="4835"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4000  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1B0F0A2D"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4,264,459,707</w:t>
            </w:r>
          </w:p>
        </w:tc>
        <w:tc>
          <w:tcPr>
            <w:tcW w:w="1701" w:type="dxa"/>
            <w:tcBorders>
              <w:top w:val="nil"/>
              <w:left w:val="nil"/>
              <w:bottom w:val="nil"/>
              <w:right w:val="single" w:sz="8" w:space="0" w:color="auto"/>
            </w:tcBorders>
            <w:shd w:val="clear" w:color="000000" w:fill="FFFFFF"/>
            <w:noWrap/>
            <w:vAlign w:val="center"/>
          </w:tcPr>
          <w:p w14:paraId="1D9F4494" w14:textId="77899B79"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1,003,533,799</w:t>
            </w:r>
          </w:p>
        </w:tc>
        <w:tc>
          <w:tcPr>
            <w:tcW w:w="1701" w:type="dxa"/>
            <w:tcBorders>
              <w:top w:val="nil"/>
              <w:left w:val="nil"/>
              <w:bottom w:val="nil"/>
              <w:right w:val="single" w:sz="8" w:space="0" w:color="auto"/>
            </w:tcBorders>
            <w:shd w:val="clear" w:color="000000" w:fill="FFFFFF"/>
            <w:noWrap/>
            <w:vAlign w:val="center"/>
          </w:tcPr>
          <w:p w14:paraId="02169206" w14:textId="3B05C865"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838,182,639</w:t>
            </w:r>
          </w:p>
        </w:tc>
        <w:tc>
          <w:tcPr>
            <w:tcW w:w="1843" w:type="dxa"/>
            <w:tcBorders>
              <w:top w:val="nil"/>
              <w:left w:val="nil"/>
              <w:bottom w:val="nil"/>
              <w:right w:val="single" w:sz="8" w:space="0" w:color="auto"/>
            </w:tcBorders>
            <w:shd w:val="clear" w:color="000000" w:fill="FFFFFF"/>
            <w:noWrap/>
            <w:vAlign w:val="center"/>
          </w:tcPr>
          <w:p w14:paraId="36ECA2C2" w14:textId="55E52AEC"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3,260,925,908</w:t>
            </w:r>
          </w:p>
        </w:tc>
      </w:tr>
      <w:tr w:rsidR="00A8476A" w:rsidRPr="008E5563" w14:paraId="55E31AED"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5000  Bienes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547D280D"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69,463,181</w:t>
            </w:r>
          </w:p>
        </w:tc>
        <w:tc>
          <w:tcPr>
            <w:tcW w:w="1701" w:type="dxa"/>
            <w:tcBorders>
              <w:top w:val="nil"/>
              <w:left w:val="nil"/>
              <w:bottom w:val="nil"/>
              <w:right w:val="single" w:sz="8" w:space="0" w:color="auto"/>
            </w:tcBorders>
            <w:shd w:val="clear" w:color="000000" w:fill="FFFFFF"/>
            <w:noWrap/>
            <w:vAlign w:val="center"/>
          </w:tcPr>
          <w:p w14:paraId="7287E2E8" w14:textId="6707296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27,464,050</w:t>
            </w:r>
          </w:p>
        </w:tc>
        <w:tc>
          <w:tcPr>
            <w:tcW w:w="1701" w:type="dxa"/>
            <w:tcBorders>
              <w:top w:val="nil"/>
              <w:left w:val="nil"/>
              <w:bottom w:val="nil"/>
              <w:right w:val="single" w:sz="8" w:space="0" w:color="auto"/>
            </w:tcBorders>
            <w:shd w:val="clear" w:color="000000" w:fill="FFFFFF"/>
            <w:noWrap/>
            <w:vAlign w:val="center"/>
          </w:tcPr>
          <w:p w14:paraId="6218C814" w14:textId="1283A2EA"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11,693,961</w:t>
            </w:r>
          </w:p>
        </w:tc>
        <w:tc>
          <w:tcPr>
            <w:tcW w:w="1843" w:type="dxa"/>
            <w:tcBorders>
              <w:top w:val="nil"/>
              <w:left w:val="nil"/>
              <w:bottom w:val="nil"/>
              <w:right w:val="single" w:sz="8" w:space="0" w:color="auto"/>
            </w:tcBorders>
            <w:shd w:val="clear" w:color="000000" w:fill="FFFFFF"/>
            <w:noWrap/>
            <w:vAlign w:val="center"/>
          </w:tcPr>
          <w:p w14:paraId="6BC09363" w14:textId="513F1BA9"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41,999,131</w:t>
            </w:r>
          </w:p>
        </w:tc>
      </w:tr>
      <w:tr w:rsidR="00A8476A" w:rsidRPr="008E5563" w14:paraId="7522456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6000  Inversión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527564DF"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652,818,207</w:t>
            </w:r>
          </w:p>
        </w:tc>
        <w:tc>
          <w:tcPr>
            <w:tcW w:w="1701" w:type="dxa"/>
            <w:tcBorders>
              <w:top w:val="nil"/>
              <w:left w:val="nil"/>
              <w:bottom w:val="nil"/>
              <w:right w:val="single" w:sz="8" w:space="0" w:color="auto"/>
            </w:tcBorders>
            <w:shd w:val="clear" w:color="000000" w:fill="FFFFFF"/>
            <w:noWrap/>
            <w:vAlign w:val="center"/>
          </w:tcPr>
          <w:p w14:paraId="20CDB494" w14:textId="77707DA7"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122,550,126</w:t>
            </w:r>
          </w:p>
        </w:tc>
        <w:tc>
          <w:tcPr>
            <w:tcW w:w="1701" w:type="dxa"/>
            <w:tcBorders>
              <w:top w:val="nil"/>
              <w:left w:val="nil"/>
              <w:bottom w:val="nil"/>
              <w:right w:val="single" w:sz="8" w:space="0" w:color="auto"/>
            </w:tcBorders>
            <w:shd w:val="clear" w:color="000000" w:fill="FFFFFF"/>
            <w:noWrap/>
            <w:vAlign w:val="center"/>
          </w:tcPr>
          <w:p w14:paraId="0E956850" w14:textId="446FEF4F"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104,319,830</w:t>
            </w:r>
          </w:p>
        </w:tc>
        <w:tc>
          <w:tcPr>
            <w:tcW w:w="1843" w:type="dxa"/>
            <w:tcBorders>
              <w:top w:val="nil"/>
              <w:left w:val="nil"/>
              <w:bottom w:val="nil"/>
              <w:right w:val="single" w:sz="8" w:space="0" w:color="auto"/>
            </w:tcBorders>
            <w:shd w:val="clear" w:color="000000" w:fill="FFFFFF"/>
            <w:noWrap/>
            <w:vAlign w:val="center"/>
          </w:tcPr>
          <w:p w14:paraId="14CF70AC" w14:textId="3A9699B3" w:rsidR="00A8476A" w:rsidRPr="00F408C8" w:rsidRDefault="0032159B"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530,268,081</w:t>
            </w:r>
          </w:p>
        </w:tc>
      </w:tr>
      <w:tr w:rsidR="00A8476A" w:rsidRPr="008E5563" w14:paraId="3219C271"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7000  Inversiones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159F0DA5"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1,313,302,127</w:t>
            </w:r>
          </w:p>
        </w:tc>
        <w:tc>
          <w:tcPr>
            <w:tcW w:w="1701" w:type="dxa"/>
            <w:tcBorders>
              <w:top w:val="nil"/>
              <w:left w:val="nil"/>
              <w:bottom w:val="nil"/>
              <w:right w:val="single" w:sz="8" w:space="0" w:color="auto"/>
            </w:tcBorders>
            <w:shd w:val="clear" w:color="000000" w:fill="FFFFFF"/>
            <w:noWrap/>
            <w:vAlign w:val="center"/>
          </w:tcPr>
          <w:p w14:paraId="43CE7396" w14:textId="176E8703"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229,045,168</w:t>
            </w:r>
          </w:p>
        </w:tc>
        <w:tc>
          <w:tcPr>
            <w:tcW w:w="1701" w:type="dxa"/>
            <w:tcBorders>
              <w:top w:val="nil"/>
              <w:left w:val="nil"/>
              <w:bottom w:val="nil"/>
              <w:right w:val="single" w:sz="8" w:space="0" w:color="auto"/>
            </w:tcBorders>
            <w:shd w:val="clear" w:color="000000" w:fill="FFFFFF"/>
            <w:noWrap/>
            <w:vAlign w:val="center"/>
          </w:tcPr>
          <w:p w14:paraId="62351D81" w14:textId="03A22A77"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8,572,435</w:t>
            </w:r>
          </w:p>
        </w:tc>
        <w:tc>
          <w:tcPr>
            <w:tcW w:w="1843" w:type="dxa"/>
            <w:tcBorders>
              <w:top w:val="nil"/>
              <w:left w:val="nil"/>
              <w:bottom w:val="nil"/>
              <w:right w:val="single" w:sz="8" w:space="0" w:color="auto"/>
            </w:tcBorders>
            <w:shd w:val="clear" w:color="000000" w:fill="FFFFFF"/>
            <w:noWrap/>
            <w:vAlign w:val="center"/>
          </w:tcPr>
          <w:p w14:paraId="2AB9B9CD" w14:textId="4813904D" w:rsidR="00A8476A" w:rsidRPr="00F408C8" w:rsidRDefault="00783400"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1,084,256,959</w:t>
            </w:r>
          </w:p>
        </w:tc>
      </w:tr>
      <w:tr w:rsidR="00A8476A" w:rsidRPr="008E5563" w14:paraId="56E09F2B"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2145422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8000  Participaciones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7020B35A"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13,748,466,983</w:t>
            </w:r>
          </w:p>
        </w:tc>
        <w:tc>
          <w:tcPr>
            <w:tcW w:w="1701" w:type="dxa"/>
            <w:tcBorders>
              <w:top w:val="nil"/>
              <w:left w:val="nil"/>
              <w:bottom w:val="nil"/>
              <w:right w:val="single" w:sz="8" w:space="0" w:color="auto"/>
            </w:tcBorders>
            <w:shd w:val="clear" w:color="000000" w:fill="FFFFFF"/>
            <w:noWrap/>
            <w:vAlign w:val="center"/>
          </w:tcPr>
          <w:p w14:paraId="49BA881A" w14:textId="31DD55AA"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3,144,987,258</w:t>
            </w:r>
          </w:p>
        </w:tc>
        <w:tc>
          <w:tcPr>
            <w:tcW w:w="1701" w:type="dxa"/>
            <w:tcBorders>
              <w:top w:val="nil"/>
              <w:left w:val="nil"/>
              <w:bottom w:val="nil"/>
              <w:right w:val="single" w:sz="8" w:space="0" w:color="auto"/>
            </w:tcBorders>
            <w:shd w:val="clear" w:color="000000" w:fill="FFFFFF"/>
            <w:noWrap/>
            <w:vAlign w:val="center"/>
          </w:tcPr>
          <w:p w14:paraId="14041D06" w14:textId="2AA44490"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2,974,279,689</w:t>
            </w:r>
          </w:p>
        </w:tc>
        <w:tc>
          <w:tcPr>
            <w:tcW w:w="1843" w:type="dxa"/>
            <w:tcBorders>
              <w:top w:val="nil"/>
              <w:left w:val="nil"/>
              <w:bottom w:val="nil"/>
              <w:right w:val="single" w:sz="8" w:space="0" w:color="auto"/>
            </w:tcBorders>
            <w:shd w:val="clear" w:color="000000" w:fill="FFFFFF"/>
            <w:noWrap/>
            <w:vAlign w:val="center"/>
          </w:tcPr>
          <w:p w14:paraId="7CDA1EE8" w14:textId="2AA20FBC" w:rsidR="00A8476A" w:rsidRPr="00F408C8" w:rsidRDefault="00783400"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10,603,479,725</w:t>
            </w:r>
          </w:p>
        </w:tc>
      </w:tr>
      <w:tr w:rsidR="00A8476A" w:rsidRPr="008E5563" w14:paraId="0586067C"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9000  Deuda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4B82BECE"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266,081,686</w:t>
            </w:r>
          </w:p>
        </w:tc>
        <w:tc>
          <w:tcPr>
            <w:tcW w:w="1701" w:type="dxa"/>
            <w:tcBorders>
              <w:top w:val="nil"/>
              <w:left w:val="nil"/>
              <w:bottom w:val="nil"/>
              <w:right w:val="single" w:sz="8" w:space="0" w:color="auto"/>
            </w:tcBorders>
            <w:shd w:val="clear" w:color="000000" w:fill="FFFFFF"/>
            <w:noWrap/>
            <w:vAlign w:val="center"/>
          </w:tcPr>
          <w:p w14:paraId="36F87038" w14:textId="3BA4150C"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60,732,664</w:t>
            </w:r>
          </w:p>
        </w:tc>
        <w:tc>
          <w:tcPr>
            <w:tcW w:w="1701" w:type="dxa"/>
            <w:tcBorders>
              <w:top w:val="nil"/>
              <w:left w:val="nil"/>
              <w:bottom w:val="nil"/>
              <w:right w:val="single" w:sz="8" w:space="0" w:color="auto"/>
            </w:tcBorders>
            <w:shd w:val="clear" w:color="000000" w:fill="FFFFFF"/>
            <w:noWrap/>
            <w:vAlign w:val="center"/>
          </w:tcPr>
          <w:p w14:paraId="73F5DB4C" w14:textId="1C7060BC"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43,534,642</w:t>
            </w:r>
          </w:p>
        </w:tc>
        <w:tc>
          <w:tcPr>
            <w:tcW w:w="1843" w:type="dxa"/>
            <w:tcBorders>
              <w:top w:val="nil"/>
              <w:left w:val="nil"/>
              <w:bottom w:val="nil"/>
              <w:right w:val="single" w:sz="8" w:space="0" w:color="auto"/>
            </w:tcBorders>
            <w:shd w:val="clear" w:color="000000" w:fill="FFFFFF"/>
            <w:noWrap/>
            <w:vAlign w:val="center"/>
          </w:tcPr>
          <w:p w14:paraId="39EAF356" w14:textId="30ECA4A4" w:rsidR="00A8476A" w:rsidRPr="00F408C8" w:rsidRDefault="00783400"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205,349,022</w:t>
            </w:r>
          </w:p>
        </w:tc>
      </w:tr>
      <w:tr w:rsidR="00A8476A" w:rsidRPr="008E5563" w14:paraId="6F910D71"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26E2CBBD" w:rsidR="00A8476A" w:rsidRPr="00F408C8" w:rsidRDefault="00783400"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22,721,107,117</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03930343" w:rsidR="00A8476A" w:rsidRPr="00F408C8" w:rsidRDefault="00783400"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5,152,039,674</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6C3E3632" w:rsidR="00A8476A" w:rsidRPr="00F408C8" w:rsidRDefault="00783400"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4,476,873,052</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21A9E5B2" w:rsidR="00A8476A" w:rsidRPr="00F408C8" w:rsidRDefault="00783400"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17,569,067,4</w:t>
            </w:r>
            <w:r w:rsidR="00F15D75">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3</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3766C92A" w14:textId="77777777" w:rsidR="00A8476A" w:rsidRPr="00C01A7A" w:rsidRDefault="00A8476A"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332355">
      <w:pPr>
        <w:pStyle w:val="Texto"/>
        <w:numPr>
          <w:ilvl w:val="0"/>
          <w:numId w:val="15"/>
        </w:numPr>
        <w:spacing w:after="0" w:line="240" w:lineRule="exact"/>
        <w:rPr>
          <w:b/>
          <w:sz w:val="22"/>
          <w:szCs w:val="22"/>
          <w:lang w:val="es-MX"/>
        </w:rPr>
      </w:pPr>
      <w:r>
        <w:rPr>
          <w:b/>
          <w:sz w:val="22"/>
          <w:szCs w:val="22"/>
          <w:lang w:val="es-MX"/>
        </w:rPr>
        <w:t>Panorama económico</w:t>
      </w: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w:t>
      </w:r>
      <w:r w:rsidRPr="000D0AA7">
        <w:rPr>
          <w:rFonts w:eastAsia="Calibri"/>
          <w:sz w:val="22"/>
          <w:szCs w:val="22"/>
          <w:lang w:val="es-MX" w:eastAsia="en-US"/>
        </w:rPr>
        <w:lastRenderedPageBreak/>
        <w:t>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w:t>
      </w:r>
      <w:proofErr w:type="spellStart"/>
      <w:r w:rsidRPr="00EE1249">
        <w:rPr>
          <w:rFonts w:eastAsia="Calibri"/>
          <w:sz w:val="22"/>
          <w:szCs w:val="22"/>
          <w:lang w:val="es-MX" w:eastAsia="en-US"/>
        </w:rPr>
        <w:t>prepandemia</w:t>
      </w:r>
      <w:proofErr w:type="spellEnd"/>
      <w:r w:rsidRPr="00EE1249">
        <w:rPr>
          <w:rFonts w:eastAsia="Calibri"/>
          <w:sz w:val="22"/>
          <w:szCs w:val="22"/>
          <w:lang w:val="es-MX" w:eastAsia="en-US"/>
        </w:rPr>
        <w:t xml:space="preserve">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w:t>
      </w:r>
      <w:proofErr w:type="spellStart"/>
      <w:r w:rsidRPr="00EE1249">
        <w:rPr>
          <w:rFonts w:eastAsia="Calibri"/>
          <w:sz w:val="22"/>
          <w:szCs w:val="22"/>
          <w:lang w:val="es-MX" w:eastAsia="en-US"/>
        </w:rPr>
        <w:t>prepandemia</w:t>
      </w:r>
      <w:proofErr w:type="spellEnd"/>
      <w:r w:rsidRPr="00EE1249">
        <w:rPr>
          <w:rFonts w:eastAsia="Calibri"/>
          <w:sz w:val="22"/>
          <w:szCs w:val="22"/>
          <w:lang w:val="es-MX" w:eastAsia="en-US"/>
        </w:rPr>
        <w:t xml:space="preserve">.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 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lastRenderedPageBreak/>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17448DD2" w14:textId="77777777" w:rsidR="00332355" w:rsidRDefault="00332355" w:rsidP="00332355">
      <w:pPr>
        <w:ind w:left="708"/>
        <w:jc w:val="both"/>
        <w:rPr>
          <w:rFonts w:ascii="Arial" w:hAnsi="Arial" w:cs="Arial"/>
        </w:rPr>
      </w:pPr>
      <w:r w:rsidRPr="00C01A7A">
        <w:rPr>
          <w:rFonts w:ascii="Arial" w:hAnsi="Arial" w:cs="Arial"/>
        </w:rPr>
        <w:t xml:space="preserve">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w:t>
      </w:r>
    </w:p>
    <w:p w14:paraId="3C015F85" w14:textId="77777777" w:rsidR="00332355" w:rsidRDefault="00332355" w:rsidP="00332355">
      <w:pPr>
        <w:ind w:left="708"/>
        <w:jc w:val="both"/>
        <w:rPr>
          <w:rFonts w:ascii="Arial" w:hAnsi="Arial" w:cs="Arial"/>
        </w:rPr>
      </w:pPr>
      <w:r w:rsidRPr="00C01A7A">
        <w:rPr>
          <w:rFonts w:ascii="Arial" w:hAnsi="Arial" w:cs="Arial"/>
        </w:rPr>
        <w:t>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BBA4DEE" w14:textId="77777777" w:rsidR="00332355" w:rsidRDefault="00332355" w:rsidP="00332355">
      <w:pPr>
        <w:ind w:left="708"/>
        <w:jc w:val="both"/>
        <w:rPr>
          <w:rFonts w:ascii="Arial" w:hAnsi="Arial" w:cs="Arial"/>
        </w:rPr>
      </w:pPr>
    </w:p>
    <w:p w14:paraId="554C6A6B" w14:textId="77777777" w:rsidR="00332355" w:rsidRDefault="00332355" w:rsidP="00332355">
      <w:pPr>
        <w:ind w:left="708"/>
        <w:jc w:val="both"/>
        <w:rPr>
          <w:rFonts w:ascii="Arial" w:hAnsi="Arial" w:cs="Arial"/>
        </w:rPr>
      </w:pPr>
    </w:p>
    <w:p w14:paraId="6F9B653B" w14:textId="77777777" w:rsidR="00332355" w:rsidRPr="00EC0B1F" w:rsidRDefault="00332355" w:rsidP="00332355">
      <w:pPr>
        <w:ind w:left="708"/>
        <w:jc w:val="both"/>
        <w:rPr>
          <w:rFonts w:ascii="Arial" w:hAnsi="Arial" w:cs="Arial"/>
        </w:rPr>
      </w:pPr>
    </w:p>
    <w:p w14:paraId="37878AE2"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75F9FE0B"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Orgánica de la Administración Pública del Estado.</w:t>
      </w:r>
    </w:p>
    <w:p w14:paraId="1293D679"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De Hacienda del Estado.</w:t>
      </w:r>
    </w:p>
    <w:p w14:paraId="4C9797C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De Ingresos del Estado.</w:t>
      </w:r>
    </w:p>
    <w:p w14:paraId="6EA6937E"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De Presupuesto y Control del Gasto Público Estatal.</w:t>
      </w:r>
    </w:p>
    <w:p w14:paraId="07753FB0"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Ley de Coordinación Fiscal</w:t>
      </w:r>
    </w:p>
    <w:p w14:paraId="3819009B"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Ley de Deuda Pública</w:t>
      </w:r>
    </w:p>
    <w:p w14:paraId="3239009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Ley de Contabilidad Gubernamental</w:t>
      </w:r>
    </w:p>
    <w:p w14:paraId="4FD8893B" w14:textId="77777777" w:rsidR="00332355" w:rsidRPr="00C01A7A" w:rsidRDefault="00332355" w:rsidP="00332355">
      <w:pPr>
        <w:widowControl/>
        <w:numPr>
          <w:ilvl w:val="0"/>
          <w:numId w:val="2"/>
        </w:numPr>
        <w:autoSpaceDE/>
        <w:autoSpaceDN/>
        <w:jc w:val="both"/>
        <w:rPr>
          <w:rFonts w:ascii="Arial" w:hAnsi="Arial" w:cs="Arial"/>
        </w:rPr>
      </w:pPr>
      <w:hyperlink r:id="rId12" w:tgtFrame="_blank" w:history="1">
        <w:r w:rsidRPr="00C01A7A">
          <w:rPr>
            <w:rFonts w:ascii="Helvetica" w:eastAsia="Times New Roman" w:hAnsi="Helvetica" w:cs="Helvetica"/>
            <w:sz w:val="21"/>
            <w:szCs w:val="21"/>
            <w:lang w:eastAsia="es-MX"/>
          </w:rPr>
          <w:t>Presupuesto de Egresos para el Ejercicio Fiscal 20</w:t>
        </w:r>
      </w:hyperlink>
      <w:r w:rsidRPr="00C01A7A">
        <w:rPr>
          <w:rFonts w:ascii="Helvetica" w:eastAsia="Times New Roman" w:hAnsi="Helvetica" w:cs="Helvetica"/>
          <w:sz w:val="21"/>
          <w:szCs w:val="21"/>
          <w:lang w:eastAsia="es-MX"/>
        </w:rPr>
        <w:t>21</w:t>
      </w:r>
    </w:p>
    <w:p w14:paraId="4115773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Ley de Responsabilidades de los Servidores Públicos del Estado</w:t>
      </w:r>
    </w:p>
    <w:p w14:paraId="6F8C8B6B" w14:textId="77777777" w:rsidR="00332355" w:rsidRPr="00DB1374" w:rsidRDefault="00332355" w:rsidP="0033235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del Órgano de Fiscalización Superior del Estado</w:t>
      </w:r>
    </w:p>
    <w:p w14:paraId="7DCD7869"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p>
    <w:p w14:paraId="4E914DC1"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p>
    <w:p w14:paraId="3760B77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p>
    <w:p w14:paraId="146AF53F"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Reglamento Interior de la Secretaría de Finanzas del Gobierno del Estado</w:t>
      </w:r>
    </w:p>
    <w:p w14:paraId="664F4162" w14:textId="77777777" w:rsidR="00332355" w:rsidRDefault="00332355" w:rsidP="00332355">
      <w:pPr>
        <w:jc w:val="both"/>
        <w:rPr>
          <w:rFonts w:ascii="Arial" w:hAnsi="Arial" w:cs="Arial"/>
          <w:b/>
        </w:rPr>
      </w:pPr>
    </w:p>
    <w:p w14:paraId="098C4218" w14:textId="77777777" w:rsidR="00332355" w:rsidRDefault="00332355" w:rsidP="00332355">
      <w:pPr>
        <w:jc w:val="both"/>
        <w:rPr>
          <w:rFonts w:ascii="Arial" w:hAnsi="Arial" w:cs="Arial"/>
          <w:b/>
        </w:rPr>
      </w:pP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4D8AF818" w14:textId="77777777" w:rsidR="00332355" w:rsidRDefault="00332355" w:rsidP="00332355">
      <w:pPr>
        <w:ind w:left="708"/>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 Secretaria de Hacienda y Crédito Público y las demás disposiciones legales aplicables.</w:t>
      </w:r>
    </w:p>
    <w:p w14:paraId="675C9259" w14:textId="77777777" w:rsidR="00332355" w:rsidRDefault="00332355" w:rsidP="00332355">
      <w:pPr>
        <w:ind w:left="708"/>
        <w:jc w:val="both"/>
        <w:rPr>
          <w:rFonts w:ascii="Arial" w:hAnsi="Arial" w:cs="Arial"/>
        </w:rPr>
      </w:pPr>
    </w:p>
    <w:p w14:paraId="6567542B" w14:textId="77777777" w:rsidR="00332355" w:rsidRDefault="00332355" w:rsidP="00332355">
      <w:pPr>
        <w:ind w:left="708"/>
        <w:jc w:val="both"/>
        <w:rPr>
          <w:rFonts w:ascii="Arial" w:hAnsi="Arial" w:cs="Arial"/>
        </w:rPr>
      </w:pPr>
    </w:p>
    <w:p w14:paraId="4814EEC8" w14:textId="77777777" w:rsidR="00332355" w:rsidRDefault="00332355" w:rsidP="00332355">
      <w:pPr>
        <w:ind w:left="708"/>
        <w:jc w:val="both"/>
        <w:rPr>
          <w:rFonts w:ascii="Arial" w:hAnsi="Arial" w:cs="Arial"/>
        </w:rPr>
      </w:pPr>
    </w:p>
    <w:p w14:paraId="66193D7B" w14:textId="77777777" w:rsidR="00332355" w:rsidRDefault="00332355" w:rsidP="00332355">
      <w:pPr>
        <w:ind w:left="708"/>
        <w:jc w:val="both"/>
        <w:rPr>
          <w:rFonts w:ascii="Arial" w:hAnsi="Arial" w:cs="Arial"/>
        </w:rPr>
      </w:pPr>
    </w:p>
    <w:p w14:paraId="715874D1" w14:textId="77777777" w:rsidR="00332355" w:rsidRDefault="00332355" w:rsidP="00332355">
      <w:pPr>
        <w:ind w:left="708"/>
        <w:jc w:val="both"/>
        <w:rPr>
          <w:rFonts w:ascii="Arial" w:hAnsi="Arial" w:cs="Arial"/>
        </w:rPr>
      </w:pPr>
    </w:p>
    <w:p w14:paraId="69866DA9" w14:textId="77777777" w:rsidR="00332355" w:rsidRDefault="00332355" w:rsidP="00332355">
      <w:pPr>
        <w:ind w:left="708"/>
        <w:jc w:val="both"/>
        <w:rPr>
          <w:rFonts w:ascii="Arial" w:hAnsi="Arial" w:cs="Arial"/>
        </w:rPr>
      </w:pPr>
    </w:p>
    <w:p w14:paraId="6529D06C"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Secretaria de Finanzas podrá autorizar que se celebren Contratos de Obras Públicas, de adquisiciones </w:t>
      </w:r>
      <w:r w:rsidRPr="00C01A7A">
        <w:rPr>
          <w:rFonts w:ascii="Arial" w:hAnsi="Arial" w:cs="Arial"/>
        </w:rPr>
        <w:lastRenderedPageBreak/>
        <w:t>o de otra índole, que rebasen las asignaciones aprobadas para el año, pero en estos casos los compromisos 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257F37B3" w14:textId="77777777" w:rsidR="00332355" w:rsidRPr="00C01A7A" w:rsidRDefault="00332355" w:rsidP="0033235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C8884CD" w14:textId="77777777" w:rsidR="00332355" w:rsidRDefault="00332355" w:rsidP="00332355">
      <w:pPr>
        <w:ind w:left="1440"/>
        <w:jc w:val="both"/>
        <w:rPr>
          <w:rFonts w:ascii="Arial" w:hAnsi="Arial" w:cs="Arial"/>
        </w:rPr>
      </w:pP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77777777"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Pr>
          <w:rFonts w:ascii="Arial" w:hAnsi="Arial" w:cs="Arial"/>
          <w:shd w:val="clear" w:color="auto" w:fill="FFFFFF"/>
        </w:rPr>
        <w:t>1</w:t>
      </w:r>
      <w:r w:rsidRPr="0094019A">
        <w:rPr>
          <w:rFonts w:ascii="Arial" w:hAnsi="Arial" w:cs="Arial"/>
          <w:shd w:val="clear" w:color="auto" w:fill="FFFFFF"/>
        </w:rPr>
        <w:t xml:space="preserve"> de </w:t>
      </w:r>
      <w:r>
        <w:rPr>
          <w:rFonts w:ascii="Arial" w:hAnsi="Arial" w:cs="Arial"/>
          <w:shd w:val="clear" w:color="auto" w:fill="FFFFFF"/>
        </w:rPr>
        <w:t>diciembre</w:t>
      </w:r>
      <w:r w:rsidRPr="0094019A">
        <w:rPr>
          <w:rFonts w:ascii="Arial" w:hAnsi="Arial" w:cs="Arial"/>
          <w:shd w:val="clear" w:color="auto" w:fill="FFFFFF"/>
        </w:rPr>
        <w:t xml:space="preserve"> de 2022</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55112148"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 xml:space="preserve">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w:t>
      </w:r>
      <w:r w:rsidRPr="00C01A7A">
        <w:rPr>
          <w:rFonts w:ascii="Arial" w:hAnsi="Arial" w:cs="Arial"/>
        </w:rPr>
        <w:lastRenderedPageBreak/>
        <w:t>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lastRenderedPageBreak/>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A8476A">
      <w:pPr>
        <w:pStyle w:val="Texto"/>
        <w:numPr>
          <w:ilvl w:val="0"/>
          <w:numId w:val="15"/>
        </w:numPr>
        <w:spacing w:after="0" w:line="240" w:lineRule="exact"/>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7EB8B15A"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A17D6E">
        <w:rPr>
          <w:rFonts w:ascii="Arial" w:hAnsi="Arial" w:cs="Arial"/>
        </w:rPr>
        <w:t xml:space="preserve">31 </w:t>
      </w:r>
      <w:r w:rsidRPr="0026178D">
        <w:rPr>
          <w:rFonts w:ascii="Arial" w:hAnsi="Arial" w:cs="Arial"/>
        </w:rPr>
        <w:t xml:space="preserve">de </w:t>
      </w:r>
      <w:r w:rsidR="00A17D6E">
        <w:rPr>
          <w:rFonts w:ascii="Arial" w:hAnsi="Arial" w:cs="Arial"/>
        </w:rPr>
        <w:t>marzo</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1436FC">
        <w:rPr>
          <w:rFonts w:ascii="Arial" w:hAnsi="Arial" w:cs="Arial"/>
        </w:rPr>
        <w:t>8</w:t>
      </w:r>
      <w:r w:rsidR="00A17D6E">
        <w:rPr>
          <w:rFonts w:ascii="Arial" w:hAnsi="Arial" w:cs="Arial"/>
        </w:rPr>
        <w:t>6</w:t>
      </w:r>
      <w:r w:rsidR="001436FC">
        <w:rPr>
          <w:rFonts w:ascii="Arial" w:hAnsi="Arial" w:cs="Arial"/>
        </w:rPr>
        <w:t>.</w:t>
      </w:r>
      <w:r w:rsidR="00A17D6E">
        <w:rPr>
          <w:rFonts w:ascii="Arial" w:hAnsi="Arial" w:cs="Arial"/>
        </w:rPr>
        <w:t>5</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$1,30</w:t>
      </w:r>
      <w:r w:rsidR="00A17D6E">
        <w:rPr>
          <w:rFonts w:ascii="Arial" w:hAnsi="Arial" w:cs="Arial"/>
        </w:rPr>
        <w:t>3</w:t>
      </w:r>
      <w:r>
        <w:rPr>
          <w:rFonts w:ascii="Arial" w:hAnsi="Arial" w:cs="Arial"/>
        </w:rPr>
        <w:t>.</w:t>
      </w:r>
      <w:r w:rsidR="00A17D6E">
        <w:rPr>
          <w:rFonts w:ascii="Arial" w:hAnsi="Arial" w:cs="Arial"/>
        </w:rPr>
        <w:t>1</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w:t>
      </w:r>
      <w:proofErr w:type="spellStart"/>
      <w:r w:rsidRPr="00C01A7A">
        <w:rPr>
          <w:rFonts w:ascii="Arial" w:hAnsi="Arial" w:cs="Arial"/>
        </w:rPr>
        <w:t>Scotiabank</w:t>
      </w:r>
      <w:proofErr w:type="spellEnd"/>
      <w:r w:rsidRPr="00C01A7A">
        <w:rPr>
          <w:rFonts w:ascii="Arial" w:hAnsi="Arial" w:cs="Arial"/>
        </w:rPr>
        <w:t xml:space="preserve">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2F25D64" w14:textId="77777777" w:rsidR="00A8476A" w:rsidRPr="00C01A7A" w:rsidRDefault="00A8476A" w:rsidP="00A8476A">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w:t>
      </w:r>
      <w:proofErr w:type="spellStart"/>
      <w:r w:rsidRPr="00C01A7A">
        <w:rPr>
          <w:rFonts w:ascii="Arial" w:hAnsi="Arial" w:cs="Arial"/>
        </w:rPr>
        <w:t>hidrometeorológicos</w:t>
      </w:r>
      <w:proofErr w:type="spellEnd"/>
      <w:r w:rsidRPr="00C01A7A">
        <w:rPr>
          <w:rFonts w:ascii="Arial" w:hAnsi="Arial" w:cs="Arial"/>
        </w:rPr>
        <w:t xml:space="preserve"> ocurridos en 2014. Para esto se afectará como fuente de pago un porcentaje de recursos de las Participaciones que en ingresos federales le correspondan del Fondo General de Participaciones. El financiamiento fue contratado con </w:t>
      </w:r>
      <w:proofErr w:type="spellStart"/>
      <w:r w:rsidRPr="00C01A7A">
        <w:rPr>
          <w:rFonts w:ascii="Arial" w:hAnsi="Arial" w:cs="Arial"/>
        </w:rPr>
        <w:t>Banobras</w:t>
      </w:r>
      <w:proofErr w:type="spellEnd"/>
      <w:r w:rsidRPr="00C01A7A">
        <w:rPr>
          <w:rFonts w:ascii="Arial" w:hAnsi="Arial" w:cs="Arial"/>
        </w:rPr>
        <w:t xml:space="preserve"> y el contrato respectivo fue firmado con fecha 01 de septiembre de 2016. </w:t>
      </w:r>
    </w:p>
    <w:p w14:paraId="6CA456B2" w14:textId="1DC0E556" w:rsidR="00A8476A" w:rsidRPr="00C01A7A" w:rsidRDefault="00A8476A" w:rsidP="003A2550">
      <w:pPr>
        <w:jc w:val="both"/>
        <w:rPr>
          <w:rFonts w:ascii="Arial" w:hAnsi="Arial" w:cs="Arial"/>
        </w:rPr>
      </w:pPr>
    </w:p>
    <w:tbl>
      <w:tblPr>
        <w:tblW w:w="12907" w:type="dxa"/>
        <w:jc w:val="center"/>
        <w:tblCellMar>
          <w:left w:w="70" w:type="dxa"/>
          <w:right w:w="70" w:type="dxa"/>
        </w:tblCellMar>
        <w:tblLook w:val="04A0" w:firstRow="1" w:lastRow="0" w:firstColumn="1" w:lastColumn="0" w:noHBand="0" w:noVBand="1"/>
      </w:tblPr>
      <w:tblGrid>
        <w:gridCol w:w="1555"/>
        <w:gridCol w:w="2586"/>
        <w:gridCol w:w="1741"/>
        <w:gridCol w:w="281"/>
        <w:gridCol w:w="2146"/>
        <w:gridCol w:w="495"/>
        <w:gridCol w:w="1127"/>
        <w:gridCol w:w="301"/>
        <w:gridCol w:w="1186"/>
        <w:gridCol w:w="688"/>
        <w:gridCol w:w="774"/>
        <w:gridCol w:w="27"/>
      </w:tblGrid>
      <w:tr w:rsidR="00A8476A" w:rsidRPr="00C01A7A" w14:paraId="59C17EA5" w14:textId="77777777" w:rsidTr="00893E67">
        <w:trPr>
          <w:trHeight w:val="267"/>
          <w:jc w:val="center"/>
        </w:trPr>
        <w:tc>
          <w:tcPr>
            <w:tcW w:w="12907" w:type="dxa"/>
            <w:gridSpan w:val="12"/>
            <w:tcBorders>
              <w:top w:val="nil"/>
              <w:left w:val="nil"/>
              <w:bottom w:val="nil"/>
              <w:right w:val="nil"/>
            </w:tcBorders>
            <w:shd w:val="clear" w:color="auto" w:fill="auto"/>
            <w:noWrap/>
            <w:vAlign w:val="bottom"/>
            <w:hideMark/>
          </w:tcPr>
          <w:p w14:paraId="2260C98B" w14:textId="76C432F5" w:rsidR="00A8476A" w:rsidRPr="00C01A7A" w:rsidRDefault="00A8476A" w:rsidP="003A2550">
            <w:pPr>
              <w:rPr>
                <w:rFonts w:ascii="Arial" w:eastAsia="Times New Roman" w:hAnsi="Arial" w:cs="Arial"/>
                <w:b/>
                <w:bCs/>
                <w:sz w:val="24"/>
                <w:szCs w:val="24"/>
                <w:lang w:eastAsia="es-MX"/>
              </w:rPr>
            </w:pPr>
          </w:p>
          <w:p w14:paraId="76208CAB" w14:textId="1DFFAD9D" w:rsidR="00A8476A" w:rsidRPr="00C01A7A" w:rsidRDefault="00A8476A" w:rsidP="006A198F">
            <w:pPr>
              <w:jc w:val="center"/>
              <w:rPr>
                <w:rFonts w:ascii="Arial" w:eastAsia="Times New Roman" w:hAnsi="Arial" w:cs="Arial"/>
                <w:b/>
                <w:bCs/>
                <w:sz w:val="24"/>
                <w:szCs w:val="24"/>
                <w:lang w:eastAsia="es-MX"/>
              </w:rPr>
            </w:pPr>
            <w:r w:rsidRPr="00C01A7A">
              <w:rPr>
                <w:rFonts w:ascii="Arial" w:eastAsia="Times New Roman" w:hAnsi="Arial" w:cs="Arial"/>
                <w:b/>
                <w:bCs/>
                <w:sz w:val="24"/>
                <w:szCs w:val="24"/>
                <w:lang w:eastAsia="es-MX"/>
              </w:rPr>
              <w:t xml:space="preserve">DEUDA DIRECTA </w:t>
            </w:r>
            <w:r>
              <w:rPr>
                <w:rFonts w:ascii="Arial" w:eastAsia="Times New Roman" w:hAnsi="Arial" w:cs="Arial"/>
                <w:b/>
                <w:bCs/>
                <w:sz w:val="24"/>
                <w:szCs w:val="24"/>
                <w:lang w:eastAsia="es-MX"/>
              </w:rPr>
              <w:t xml:space="preserve">A LARGO PLAZO </w:t>
            </w:r>
            <w:r w:rsidRPr="00C01A7A">
              <w:rPr>
                <w:rFonts w:ascii="Arial" w:eastAsia="Times New Roman" w:hAnsi="Arial" w:cs="Arial"/>
                <w:b/>
                <w:bCs/>
                <w:sz w:val="24"/>
                <w:szCs w:val="24"/>
                <w:lang w:eastAsia="es-MX"/>
              </w:rPr>
              <w:t xml:space="preserve">AL </w:t>
            </w:r>
            <w:r w:rsidR="006A198F">
              <w:rPr>
                <w:rFonts w:ascii="Arial" w:eastAsia="Times New Roman" w:hAnsi="Arial" w:cs="Arial"/>
                <w:b/>
                <w:bCs/>
                <w:sz w:val="24"/>
                <w:szCs w:val="24"/>
                <w:lang w:eastAsia="es-MX"/>
              </w:rPr>
              <w:t>31</w:t>
            </w:r>
            <w:r w:rsidRPr="00C01A7A">
              <w:rPr>
                <w:rFonts w:ascii="Arial" w:eastAsia="Times New Roman" w:hAnsi="Arial" w:cs="Arial"/>
                <w:b/>
                <w:bCs/>
                <w:sz w:val="24"/>
                <w:szCs w:val="24"/>
                <w:lang w:eastAsia="es-MX"/>
              </w:rPr>
              <w:t xml:space="preserve"> DE </w:t>
            </w:r>
            <w:r w:rsidR="006A198F">
              <w:rPr>
                <w:rFonts w:ascii="Arial" w:eastAsia="Times New Roman" w:hAnsi="Arial" w:cs="Arial"/>
                <w:b/>
                <w:bCs/>
                <w:sz w:val="24"/>
                <w:szCs w:val="24"/>
                <w:lang w:eastAsia="es-MX"/>
              </w:rPr>
              <w:t xml:space="preserve">MARZO </w:t>
            </w:r>
            <w:r w:rsidRPr="00C01A7A">
              <w:rPr>
                <w:rFonts w:ascii="Arial" w:eastAsia="Times New Roman" w:hAnsi="Arial" w:cs="Arial"/>
                <w:b/>
                <w:bCs/>
                <w:sz w:val="24"/>
                <w:szCs w:val="24"/>
                <w:lang w:eastAsia="es-MX"/>
              </w:rPr>
              <w:t>DE 202</w:t>
            </w:r>
            <w:r>
              <w:rPr>
                <w:rFonts w:ascii="Arial" w:eastAsia="Times New Roman" w:hAnsi="Arial" w:cs="Arial"/>
                <w:b/>
                <w:bCs/>
                <w:sz w:val="24"/>
                <w:szCs w:val="24"/>
                <w:lang w:eastAsia="es-MX"/>
              </w:rPr>
              <w:t>3</w:t>
            </w:r>
          </w:p>
        </w:tc>
      </w:tr>
      <w:tr w:rsidR="00A8476A" w:rsidRPr="00C01A7A" w14:paraId="01A6B005" w14:textId="77777777" w:rsidTr="00893E67">
        <w:trPr>
          <w:trHeight w:val="229"/>
          <w:jc w:val="center"/>
        </w:trPr>
        <w:tc>
          <w:tcPr>
            <w:tcW w:w="1555"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893E67">
        <w:trPr>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D6A73A" w14:textId="6CFF9999" w:rsidR="00A8476A" w:rsidRPr="00C01A7A" w:rsidRDefault="00A8476A" w:rsidP="006A198F">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31</w:t>
            </w:r>
            <w:r w:rsidRPr="00C01A7A">
              <w:rPr>
                <w:rFonts w:ascii="Arial" w:eastAsia="Times New Roman" w:hAnsi="Arial" w:cs="Arial"/>
                <w:b/>
                <w:bCs/>
                <w:lang w:eastAsia="es-MX"/>
              </w:rPr>
              <w:t>/</w:t>
            </w:r>
            <w:r w:rsidR="006A198F">
              <w:rPr>
                <w:rFonts w:ascii="Arial" w:eastAsia="Times New Roman" w:hAnsi="Arial" w:cs="Arial"/>
                <w:b/>
                <w:bCs/>
                <w:lang w:eastAsia="es-MX"/>
              </w:rPr>
              <w:t>Marzo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000000" w:fill="E3E3E3"/>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893E67">
        <w:trPr>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1B1C64C4" w:rsidR="00A8476A" w:rsidRPr="00214040" w:rsidRDefault="006A198F" w:rsidP="00EB140F">
            <w:pPr>
              <w:jc w:val="right"/>
              <w:rPr>
                <w:rFonts w:ascii="Arial" w:eastAsia="Times New Roman" w:hAnsi="Arial" w:cs="Arial"/>
                <w:sz w:val="18"/>
                <w:szCs w:val="18"/>
                <w:lang w:eastAsia="es-MX"/>
              </w:rPr>
            </w:pPr>
            <w:r>
              <w:rPr>
                <w:rFonts w:ascii="Arial" w:eastAsia="Times New Roman" w:hAnsi="Arial" w:cs="Arial"/>
                <w:sz w:val="18"/>
                <w:szCs w:val="18"/>
                <w:lang w:eastAsia="es-MX"/>
              </w:rPr>
              <w:t>686,455,2</w:t>
            </w:r>
            <w:r w:rsidR="00EB140F">
              <w:rPr>
                <w:rFonts w:ascii="Arial" w:eastAsia="Times New Roman" w:hAnsi="Arial" w:cs="Arial"/>
                <w:sz w:val="18"/>
                <w:szCs w:val="18"/>
                <w:lang w:eastAsia="es-MX"/>
              </w:rPr>
              <w:t>6</w:t>
            </w:r>
            <w:r>
              <w:rPr>
                <w:rFonts w:ascii="Arial" w:eastAsia="Times New Roman" w:hAnsi="Arial" w:cs="Arial"/>
                <w:sz w:val="18"/>
                <w:szCs w:val="18"/>
                <w:lang w:eastAsia="es-MX"/>
              </w:rPr>
              <w:t>5</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0BABA663" w:rsidR="00A8476A" w:rsidRPr="00214040" w:rsidRDefault="006A198F"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641,363,204</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determinar</w:t>
            </w:r>
          </w:p>
        </w:tc>
        <w:tc>
          <w:tcPr>
            <w:tcW w:w="1489" w:type="dxa"/>
            <w:gridSpan w:val="3"/>
            <w:tcBorders>
              <w:top w:val="nil"/>
              <w:left w:val="nil"/>
              <w:bottom w:val="nil"/>
              <w:right w:val="single" w:sz="4" w:space="0" w:color="auto"/>
            </w:tcBorders>
            <w:shd w:val="clear" w:color="auto" w:fill="auto"/>
            <w:noWrap/>
            <w:vAlign w:val="bottom"/>
          </w:tcPr>
          <w:p w14:paraId="1D3B049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w:t>
            </w:r>
          </w:p>
        </w:tc>
      </w:tr>
      <w:tr w:rsidR="00A8476A" w:rsidRPr="00C01A7A" w14:paraId="5A793D63"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1436FC">
        <w:trPr>
          <w:trHeight w:val="266"/>
          <w:jc w:val="center"/>
        </w:trPr>
        <w:tc>
          <w:tcPr>
            <w:tcW w:w="1555"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1436FC">
        <w:trPr>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4976E9F2" w:rsidR="00A8476A" w:rsidRPr="00214040" w:rsidRDefault="006A198F" w:rsidP="00893E67">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1,989,555,099</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893E67">
        <w:trPr>
          <w:gridAfter w:val="1"/>
          <w:wAfter w:w="27" w:type="dxa"/>
          <w:trHeight w:val="267"/>
          <w:jc w:val="center"/>
        </w:trPr>
        <w:tc>
          <w:tcPr>
            <w:tcW w:w="12880"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Pr="003A2550" w:rsidRDefault="001436FC"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3E4429A1" w:rsidR="00A8476A" w:rsidRPr="003A2550" w:rsidRDefault="00A8476A" w:rsidP="006A198F">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31</w:t>
            </w:r>
            <w:r w:rsidRPr="003A2550">
              <w:rPr>
                <w:rFonts w:ascii="Arial" w:eastAsia="Times New Roman" w:hAnsi="Arial" w:cs="Arial"/>
                <w:b/>
                <w:bCs/>
                <w:lang w:eastAsia="es-MX"/>
              </w:rPr>
              <w:t xml:space="preserve"> DE </w:t>
            </w:r>
            <w:r w:rsidR="006A198F">
              <w:rPr>
                <w:rFonts w:ascii="Arial" w:eastAsia="Times New Roman" w:hAnsi="Arial" w:cs="Arial"/>
                <w:b/>
                <w:bCs/>
                <w:lang w:eastAsia="es-MX"/>
              </w:rPr>
              <w:t>MARZO</w:t>
            </w:r>
            <w:r w:rsidRPr="003A2550">
              <w:rPr>
                <w:rFonts w:ascii="Arial" w:eastAsia="Times New Roman" w:hAnsi="Arial" w:cs="Arial"/>
                <w:b/>
                <w:bCs/>
                <w:lang w:eastAsia="es-MX"/>
              </w:rPr>
              <w:t xml:space="preserve"> DE 2023</w:t>
            </w:r>
          </w:p>
        </w:tc>
      </w:tr>
      <w:tr w:rsidR="00A8476A" w:rsidRPr="00C01A7A" w14:paraId="05D9100B" w14:textId="77777777" w:rsidTr="00893E67">
        <w:trPr>
          <w:gridAfter w:val="1"/>
          <w:wAfter w:w="27" w:type="dxa"/>
          <w:trHeight w:val="229"/>
          <w:jc w:val="center"/>
        </w:trPr>
        <w:tc>
          <w:tcPr>
            <w:tcW w:w="1555"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893E67">
        <w:trPr>
          <w:gridAfter w:val="1"/>
          <w:wAfter w:w="27" w:type="dxa"/>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2FE79A4" w14:textId="3C4705F8" w:rsidR="00A8476A" w:rsidRPr="00C01A7A" w:rsidRDefault="00A8476A" w:rsidP="006A198F">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31</w:t>
            </w:r>
            <w:r w:rsidRPr="00C01A7A">
              <w:rPr>
                <w:rFonts w:ascii="Arial" w:eastAsia="Times New Roman" w:hAnsi="Arial" w:cs="Arial"/>
                <w:b/>
                <w:bCs/>
                <w:lang w:eastAsia="es-MX"/>
              </w:rPr>
              <w:t>/</w:t>
            </w:r>
            <w:r w:rsidR="006A198F">
              <w:rPr>
                <w:rFonts w:ascii="Arial" w:eastAsia="Times New Roman" w:hAnsi="Arial" w:cs="Arial"/>
                <w:b/>
                <w:bCs/>
                <w:lang w:eastAsia="es-MX"/>
              </w:rPr>
              <w:t>Marzo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893E67">
        <w:trPr>
          <w:gridAfter w:val="1"/>
          <w:wAfter w:w="27" w:type="dxa"/>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586"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04F7CBFF" w:rsidR="00A8476A" w:rsidRPr="00214040" w:rsidRDefault="001436FC" w:rsidP="00893E67">
            <w:pPr>
              <w:jc w:val="right"/>
              <w:rPr>
                <w:rFonts w:ascii="Arial" w:eastAsia="Times New Roman" w:hAnsi="Arial" w:cs="Arial"/>
                <w:sz w:val="20"/>
                <w:szCs w:val="20"/>
                <w:lang w:eastAsia="es-MX"/>
              </w:rPr>
            </w:pPr>
            <w:r>
              <w:rPr>
                <w:rFonts w:ascii="Arial" w:hAnsi="Arial" w:cs="Arial"/>
                <w:sz w:val="20"/>
                <w:szCs w:val="20"/>
              </w:rPr>
              <w:t>22</w:t>
            </w:r>
            <w:r w:rsidR="00A8476A">
              <w:rPr>
                <w:rFonts w:ascii="Arial" w:hAnsi="Arial" w:cs="Arial"/>
                <w:sz w:val="20"/>
                <w:szCs w:val="20"/>
              </w:rPr>
              <w:t>5,000,00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586"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893E67">
        <w:trPr>
          <w:gridAfter w:val="1"/>
          <w:wAfter w:w="27" w:type="dxa"/>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F3844A6" w:rsidR="00A8476A" w:rsidRPr="00214040" w:rsidRDefault="00A8476A" w:rsidP="001436FC">
            <w:pPr>
              <w:jc w:val="right"/>
              <w:rPr>
                <w:rFonts w:ascii="Arial" w:eastAsia="Times New Roman" w:hAnsi="Arial" w:cs="Arial"/>
                <w:b/>
                <w:bCs/>
                <w:sz w:val="20"/>
                <w:szCs w:val="20"/>
                <w:lang w:eastAsia="es-MX"/>
              </w:rPr>
            </w:pPr>
            <w:r>
              <w:rPr>
                <w:rFonts w:ascii="Arial" w:hAnsi="Arial" w:cs="Arial"/>
                <w:b/>
                <w:sz w:val="20"/>
                <w:szCs w:val="20"/>
              </w:rPr>
              <w:t>2</w:t>
            </w:r>
            <w:r w:rsidR="001436FC">
              <w:rPr>
                <w:rFonts w:ascii="Arial" w:hAnsi="Arial" w:cs="Arial"/>
                <w:b/>
                <w:sz w:val="20"/>
                <w:szCs w:val="20"/>
              </w:rPr>
              <w:t>2</w:t>
            </w:r>
            <w:r>
              <w:rPr>
                <w:rFonts w:ascii="Arial" w:hAnsi="Arial" w:cs="Arial"/>
                <w:b/>
                <w:sz w:val="20"/>
                <w:szCs w:val="20"/>
              </w:rPr>
              <w:t>5,000,000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971247F" w:rsidR="00A8476A" w:rsidRDefault="00A8476A" w:rsidP="00A8476A">
      <w:pPr>
        <w:jc w:val="both"/>
        <w:rPr>
          <w:rFonts w:ascii="Arial" w:hAnsi="Arial" w:cs="Arial"/>
          <w:b/>
        </w:rPr>
      </w:pPr>
    </w:p>
    <w:p w14:paraId="6491FC1E" w14:textId="5B660D11" w:rsidR="00332355" w:rsidRDefault="00332355" w:rsidP="00A8476A">
      <w:pPr>
        <w:jc w:val="both"/>
        <w:rPr>
          <w:rFonts w:ascii="Arial" w:hAnsi="Arial" w:cs="Arial"/>
          <w:b/>
        </w:rPr>
      </w:pPr>
    </w:p>
    <w:p w14:paraId="75101978" w14:textId="77777777" w:rsidR="00332355" w:rsidRPr="00C01A7A" w:rsidRDefault="00332355" w:rsidP="00A8476A">
      <w:pPr>
        <w:jc w:val="both"/>
        <w:rPr>
          <w:rFonts w:ascii="Arial" w:hAnsi="Arial" w:cs="Arial"/>
          <w:b/>
        </w:rPr>
      </w:pPr>
    </w:p>
    <w:p w14:paraId="0A46C80D"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79107059" w14:textId="77777777" w:rsidR="00332355" w:rsidRDefault="00332355" w:rsidP="00332355">
      <w:pPr>
        <w:ind w:left="708"/>
        <w:jc w:val="both"/>
        <w:rPr>
          <w:rFonts w:ascii="Arial" w:hAnsi="Arial" w:cs="Arial"/>
          <w:b/>
        </w:rPr>
      </w:pPr>
      <w:bookmarkStart w:id="3" w:name="_Hlk114210657"/>
    </w:p>
    <w:p w14:paraId="06B2F348" w14:textId="77777777" w:rsidR="00332355" w:rsidRDefault="00332355" w:rsidP="00332355">
      <w:pPr>
        <w:ind w:left="708"/>
        <w:jc w:val="both"/>
        <w:rPr>
          <w:rFonts w:ascii="Arial" w:hAnsi="Arial" w:cs="Arial"/>
          <w:b/>
        </w:rPr>
      </w:pPr>
    </w:p>
    <w:p w14:paraId="1A2BD711" w14:textId="77777777" w:rsidR="00332355" w:rsidRDefault="00332355" w:rsidP="00332355">
      <w:pPr>
        <w:ind w:left="708"/>
        <w:jc w:val="both"/>
        <w:rPr>
          <w:rFonts w:ascii="Arial" w:hAnsi="Arial" w:cs="Arial"/>
          <w:b/>
        </w:rPr>
      </w:pPr>
    </w:p>
    <w:p w14:paraId="1EE66CB6"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29F06AC2" w14:textId="77777777" w:rsidR="00332355" w:rsidRDefault="00332355" w:rsidP="00332355">
      <w:pPr>
        <w:ind w:left="708"/>
        <w:jc w:val="both"/>
        <w:rPr>
          <w:rFonts w:ascii="Arial" w:hAnsi="Arial" w:cs="Arial"/>
          <w:b/>
        </w:rPr>
      </w:pPr>
      <w:bookmarkStart w:id="4" w:name="_Hlk114210761"/>
      <w:bookmarkEnd w:id="3"/>
    </w:p>
    <w:p w14:paraId="073C6374" w14:textId="77777777" w:rsidR="00332355" w:rsidRDefault="00332355" w:rsidP="00332355">
      <w:pPr>
        <w:ind w:left="708"/>
        <w:jc w:val="both"/>
        <w:rPr>
          <w:rFonts w:ascii="Arial" w:hAnsi="Arial" w:cs="Arial"/>
          <w:b/>
        </w:rPr>
      </w:pPr>
    </w:p>
    <w:p w14:paraId="32C01DDA" w14:textId="77777777" w:rsidR="00332355" w:rsidRDefault="00332355" w:rsidP="00332355">
      <w:pPr>
        <w:ind w:left="708"/>
        <w:jc w:val="both"/>
        <w:rPr>
          <w:rFonts w:ascii="Arial" w:hAnsi="Arial" w:cs="Arial"/>
          <w:b/>
        </w:rPr>
      </w:pPr>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4BDC794B" w14:textId="77777777" w:rsidR="00332355" w:rsidRDefault="00332355"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t>REACTIVACIÓN ECONÓMICA Y EMPLEO INCLUYENTE</w:t>
      </w:r>
    </w:p>
    <w:p w14:paraId="2154690E" w14:textId="77777777" w:rsidR="00332355" w:rsidRPr="000902E9" w:rsidRDefault="00332355" w:rsidP="00332355">
      <w:pPr>
        <w:ind w:left="708"/>
        <w:jc w:val="both"/>
        <w:rPr>
          <w:rFonts w:ascii="Arial" w:hAnsi="Arial" w:cs="Arial"/>
        </w:rPr>
      </w:pPr>
      <w:bookmarkStart w:id="5" w:name="_GoBack"/>
      <w:bookmarkEnd w:id="5"/>
    </w:p>
    <w:p w14:paraId="3E4F0F29" w14:textId="77777777" w:rsidR="00332355" w:rsidRPr="000902E9" w:rsidRDefault="00332355" w:rsidP="00332355">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7A055FE6" w14:textId="77777777" w:rsidR="00332355" w:rsidRPr="000902E9" w:rsidRDefault="00332355" w:rsidP="00332355">
      <w:pPr>
        <w:jc w:val="both"/>
        <w:rPr>
          <w:rFonts w:ascii="Arial" w:hAnsi="Arial" w:cs="Arial"/>
        </w:rPr>
      </w:pP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3DF78BE6" w14:textId="77777777" w:rsidR="00332355" w:rsidRDefault="00332355" w:rsidP="00332355">
      <w:pPr>
        <w:ind w:left="708"/>
        <w:jc w:val="both"/>
        <w:rPr>
          <w:rFonts w:ascii="Arial" w:hAnsi="Arial" w:cs="Arial"/>
          <w:b/>
        </w:rPr>
      </w:pPr>
      <w:r w:rsidRPr="000902E9">
        <w:rPr>
          <w:rFonts w:ascii="Arial" w:hAnsi="Arial" w:cs="Arial"/>
          <w:b/>
        </w:rPr>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3F961C84" w14:textId="77777777" w:rsidR="00332355" w:rsidRPr="00C01A7A" w:rsidRDefault="00332355" w:rsidP="00332355">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CD0C566" w14:textId="77777777" w:rsidR="00332355" w:rsidRPr="00C01A7A" w:rsidRDefault="00332355" w:rsidP="00332355">
      <w:pPr>
        <w:ind w:left="708"/>
        <w:jc w:val="both"/>
        <w:rPr>
          <w:rFonts w:ascii="Arial" w:hAnsi="Arial" w:cs="Arial"/>
        </w:rPr>
      </w:pP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2FA469DB" w14:textId="77777777" w:rsidR="00332355" w:rsidRPr="00C01A7A" w:rsidRDefault="00332355" w:rsidP="00332355">
      <w:pPr>
        <w:ind w:left="708"/>
        <w:jc w:val="both"/>
        <w:rPr>
          <w:rFonts w:ascii="Arial" w:hAnsi="Arial" w:cs="Arial"/>
        </w:rPr>
      </w:pPr>
    </w:p>
    <w:p w14:paraId="517DB2F3" w14:textId="77777777" w:rsidR="00332355" w:rsidRDefault="00332355" w:rsidP="00332355">
      <w:pPr>
        <w:ind w:left="708"/>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DF75CB" w14:textId="77777777" w:rsidR="00332355" w:rsidRDefault="00332355" w:rsidP="00332355">
      <w:pPr>
        <w:jc w:val="both"/>
        <w:rPr>
          <w:rFonts w:ascii="Arial" w:hAnsi="Arial" w:cs="Arial"/>
        </w:rPr>
      </w:pPr>
    </w:p>
    <w:p w14:paraId="40B6B07B" w14:textId="77777777" w:rsidR="00332355" w:rsidRPr="00C01A7A" w:rsidRDefault="00332355" w:rsidP="00332355">
      <w:pPr>
        <w:ind w:left="1428"/>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D95E0B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09DA9B4F" w14:textId="77777777" w:rsidR="00332355" w:rsidRPr="00C01A7A" w:rsidRDefault="00332355" w:rsidP="00332355">
      <w:pPr>
        <w:ind w:left="708"/>
        <w:jc w:val="both"/>
        <w:rPr>
          <w:rFonts w:ascii="Arial" w:hAnsi="Arial" w:cs="Arial"/>
        </w:rPr>
      </w:pP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79A56A66" w14:textId="77777777" w:rsidR="00332355" w:rsidRPr="00B82342" w:rsidRDefault="00332355" w:rsidP="00332355">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9EFBBAC" w14:textId="77777777" w:rsidR="00332355" w:rsidRDefault="00332355" w:rsidP="00332355">
      <w:pPr>
        <w:ind w:left="708"/>
        <w:jc w:val="both"/>
        <w:rPr>
          <w:rFonts w:ascii="Arial" w:hAnsi="Arial" w:cs="Arial"/>
          <w:b/>
        </w:rPr>
      </w:pP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560613EF" w14:textId="77777777" w:rsidR="00332355" w:rsidRDefault="00332355" w:rsidP="00332355">
      <w:pPr>
        <w:ind w:left="708"/>
        <w:jc w:val="both"/>
        <w:rPr>
          <w:rFonts w:ascii="Arial" w:hAnsi="Arial" w:cs="Arial"/>
          <w:b/>
        </w:rPr>
      </w:pPr>
    </w:p>
    <w:p w14:paraId="4237A478" w14:textId="77777777" w:rsidR="00332355" w:rsidRPr="00C01A7A" w:rsidRDefault="00332355" w:rsidP="00332355">
      <w:pPr>
        <w:ind w:left="708"/>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78E03F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E0086D0" w14:textId="77777777" w:rsidR="00332355" w:rsidRDefault="00332355" w:rsidP="00332355">
      <w:pPr>
        <w:ind w:left="708"/>
        <w:jc w:val="both"/>
        <w:rPr>
          <w:rFonts w:ascii="Arial" w:hAnsi="Arial" w:cs="Arial"/>
        </w:rPr>
      </w:pP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1D7241" w14:textId="77777777" w:rsidR="00332355" w:rsidRDefault="00332355" w:rsidP="00332355">
      <w:pPr>
        <w:ind w:left="708"/>
        <w:jc w:val="both"/>
        <w:rPr>
          <w:rFonts w:ascii="Arial" w:hAnsi="Arial" w:cs="Arial"/>
        </w:rPr>
      </w:pPr>
    </w:p>
    <w:p w14:paraId="19B4F6F7" w14:textId="77777777" w:rsidR="00332355" w:rsidRPr="00C01A7A" w:rsidRDefault="00332355" w:rsidP="00332355">
      <w:pPr>
        <w:ind w:left="708"/>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193A62BF" w14:textId="77777777" w:rsidR="00332355" w:rsidRDefault="00332355" w:rsidP="00332355">
      <w:pPr>
        <w:ind w:left="708"/>
        <w:jc w:val="center"/>
        <w:rPr>
          <w:rFonts w:ascii="Arial" w:hAnsi="Arial" w:cs="Arial"/>
          <w:b/>
        </w:rPr>
      </w:pPr>
    </w:p>
    <w:p w14:paraId="6FEAE67E" w14:textId="77777777" w:rsidR="00332355" w:rsidRDefault="00332355" w:rsidP="00332355">
      <w:pPr>
        <w:ind w:left="708"/>
        <w:jc w:val="center"/>
        <w:rPr>
          <w:rFonts w:ascii="Arial" w:hAnsi="Arial" w:cs="Arial"/>
          <w:b/>
        </w:rPr>
      </w:pPr>
    </w:p>
    <w:p w14:paraId="219956F4" w14:textId="77777777" w:rsidR="00332355" w:rsidRDefault="00332355" w:rsidP="00332355">
      <w:pPr>
        <w:ind w:left="708"/>
        <w:jc w:val="center"/>
        <w:rPr>
          <w:rFonts w:ascii="Arial" w:hAnsi="Arial" w:cs="Arial"/>
          <w:b/>
        </w:rPr>
      </w:pPr>
    </w:p>
    <w:p w14:paraId="12A986C4" w14:textId="77777777" w:rsidR="00332355" w:rsidRDefault="00332355" w:rsidP="00332355">
      <w:pPr>
        <w:ind w:left="708"/>
        <w:jc w:val="center"/>
        <w:rPr>
          <w:rFonts w:ascii="Arial" w:hAnsi="Arial" w:cs="Arial"/>
          <w:b/>
        </w:rPr>
      </w:pPr>
    </w:p>
    <w:p w14:paraId="0CA3C28E" w14:textId="77777777" w:rsidR="00332355" w:rsidRDefault="00332355" w:rsidP="00332355">
      <w:pPr>
        <w:ind w:left="708"/>
        <w:jc w:val="center"/>
        <w:rPr>
          <w:rFonts w:ascii="Arial" w:hAnsi="Arial" w:cs="Arial"/>
          <w:b/>
        </w:rPr>
      </w:pPr>
    </w:p>
    <w:p w14:paraId="4DC5C412" w14:textId="69E34A1F" w:rsidR="00332355" w:rsidRDefault="00332355" w:rsidP="00332355">
      <w:pPr>
        <w:rPr>
          <w:rFonts w:ascii="Arial" w:hAnsi="Arial" w:cs="Arial"/>
          <w:b/>
        </w:rPr>
      </w:pPr>
    </w:p>
    <w:p w14:paraId="36FFB27B" w14:textId="77777777" w:rsidR="00332355" w:rsidRDefault="00332355" w:rsidP="00332355">
      <w:pPr>
        <w:ind w:left="708"/>
        <w:jc w:val="center"/>
        <w:rPr>
          <w:rFonts w:ascii="Arial" w:hAnsi="Arial" w:cs="Arial"/>
          <w:b/>
        </w:rPr>
      </w:pPr>
    </w:p>
    <w:p w14:paraId="0A6EE2DE" w14:textId="77777777" w:rsidR="00332355" w:rsidRDefault="00332355" w:rsidP="00332355">
      <w:pPr>
        <w:ind w:left="708"/>
        <w:jc w:val="center"/>
        <w:rPr>
          <w:rFonts w:ascii="Arial" w:hAnsi="Arial" w:cs="Arial"/>
          <w:b/>
        </w:rPr>
      </w:pPr>
    </w:p>
    <w:p w14:paraId="5F8B85CA" w14:textId="77777777" w:rsidR="00332355" w:rsidRDefault="00332355" w:rsidP="00332355">
      <w:pPr>
        <w:ind w:left="708"/>
        <w:jc w:val="center"/>
        <w:rPr>
          <w:rFonts w:ascii="Arial" w:hAnsi="Arial" w:cs="Arial"/>
          <w:b/>
        </w:rPr>
      </w:pPr>
    </w:p>
    <w:p w14:paraId="5B020B61" w14:textId="188FCBD6" w:rsidR="00332355" w:rsidRPr="00AE4E52" w:rsidRDefault="00332355" w:rsidP="00332355">
      <w:pPr>
        <w:ind w:left="708"/>
        <w:jc w:val="center"/>
        <w:rPr>
          <w:rFonts w:ascii="Arial" w:hAnsi="Arial" w:cs="Arial"/>
          <w:b/>
        </w:rPr>
      </w:pPr>
      <w:r w:rsidRPr="00C01A7A">
        <w:rPr>
          <w:rFonts w:ascii="Arial" w:hAnsi="Arial" w:cs="Arial"/>
          <w:b/>
        </w:rPr>
        <w:lastRenderedPageBreak/>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41C7237C" w14:textId="77777777" w:rsidR="00332355" w:rsidRPr="00C01A7A" w:rsidRDefault="00332355" w:rsidP="00332355">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0FA920F2" w14:textId="77777777" w:rsidR="00332355" w:rsidRPr="00C01A7A" w:rsidRDefault="00332355" w:rsidP="00332355">
      <w:pPr>
        <w:ind w:left="708"/>
        <w:jc w:val="both"/>
        <w:rPr>
          <w:rFonts w:ascii="Arial" w:hAnsi="Arial" w:cs="Arial"/>
        </w:rPr>
      </w:pP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2C9739EB" w14:textId="77777777"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p>
    <w:p w14:paraId="4095C29D" w14:textId="77777777" w:rsidR="00332355" w:rsidRDefault="00332355" w:rsidP="00332355">
      <w:pPr>
        <w:ind w:left="708"/>
        <w:jc w:val="both"/>
        <w:rPr>
          <w:rFonts w:ascii="Arial" w:hAnsi="Arial" w:cs="Arial"/>
        </w:rPr>
      </w:pPr>
    </w:p>
    <w:p w14:paraId="4C57DD7F" w14:textId="77777777" w:rsidR="00332355" w:rsidRDefault="00332355" w:rsidP="00332355">
      <w:pPr>
        <w:ind w:left="708"/>
        <w:jc w:val="both"/>
        <w:rPr>
          <w:rFonts w:ascii="Arial" w:hAnsi="Arial" w:cs="Arial"/>
        </w:rPr>
      </w:pP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1D93085" w14:textId="77777777" w:rsidR="00332355" w:rsidRDefault="00332355" w:rsidP="00332355">
      <w:pPr>
        <w:ind w:left="708"/>
        <w:jc w:val="both"/>
        <w:rPr>
          <w:rFonts w:ascii="Arial" w:hAnsi="Arial" w:cs="Arial"/>
          <w:b/>
        </w:rPr>
      </w:pPr>
    </w:p>
    <w:p w14:paraId="642740EC" w14:textId="77777777" w:rsidR="00332355" w:rsidRDefault="00332355" w:rsidP="00332355">
      <w:pPr>
        <w:ind w:left="708"/>
        <w:jc w:val="center"/>
        <w:rPr>
          <w:rFonts w:ascii="Arial" w:hAnsi="Arial" w:cs="Arial"/>
          <w:b/>
        </w:rPr>
      </w:pPr>
    </w:p>
    <w:p w14:paraId="621BC0F5" w14:textId="77777777" w:rsidR="00332355" w:rsidRDefault="00332355" w:rsidP="00332355">
      <w:pPr>
        <w:ind w:left="708"/>
        <w:jc w:val="cente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0C73AD88" w14:textId="77777777" w:rsidR="00332355" w:rsidRDefault="00332355" w:rsidP="00332355">
      <w:pPr>
        <w:ind w:left="708"/>
        <w:jc w:val="both"/>
        <w:rPr>
          <w:rFonts w:ascii="Arial" w:hAnsi="Arial" w:cs="Arial"/>
        </w:rPr>
      </w:pPr>
    </w:p>
    <w:p w14:paraId="4CD4F197" w14:textId="77777777" w:rsidR="00332355" w:rsidRDefault="00332355" w:rsidP="00332355">
      <w:pPr>
        <w:ind w:left="708"/>
        <w:jc w:val="both"/>
        <w:rPr>
          <w:rFonts w:ascii="Arial" w:hAnsi="Arial" w:cs="Arial"/>
        </w:rPr>
      </w:pPr>
    </w:p>
    <w:p w14:paraId="25829F5B" w14:textId="7AF48E09" w:rsidR="00332355" w:rsidRDefault="00332355" w:rsidP="00332355">
      <w:pPr>
        <w:jc w:val="both"/>
        <w:rPr>
          <w:rFonts w:ascii="Arial" w:hAnsi="Arial" w:cs="Arial"/>
        </w:rPr>
      </w:pPr>
    </w:p>
    <w:p w14:paraId="12F9E50F" w14:textId="77777777" w:rsidR="00332355" w:rsidRDefault="00332355" w:rsidP="00332355">
      <w:pPr>
        <w:jc w:val="both"/>
        <w:rPr>
          <w:rFonts w:ascii="Arial" w:hAnsi="Arial" w:cs="Arial"/>
        </w:rPr>
      </w:pP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1C4590">
        <w:trPr>
          <w:jc w:val="center"/>
        </w:trPr>
        <w:tc>
          <w:tcPr>
            <w:tcW w:w="13717" w:type="dxa"/>
            <w:gridSpan w:val="4"/>
            <w:shd w:val="clear" w:color="auto" w:fill="auto"/>
          </w:tcPr>
          <w:p w14:paraId="60EF885D" w14:textId="77777777" w:rsidR="00332355" w:rsidRPr="00C01A7A" w:rsidRDefault="00332355" w:rsidP="001C4590">
            <w:pPr>
              <w:jc w:val="center"/>
              <w:rPr>
                <w:rFonts w:ascii="Arial" w:hAnsi="Arial" w:cs="Arial"/>
                <w:b/>
              </w:rPr>
            </w:pPr>
            <w:r w:rsidRPr="00C01A7A">
              <w:rPr>
                <w:rFonts w:ascii="Arial" w:hAnsi="Arial" w:cs="Arial"/>
                <w:b/>
              </w:rPr>
              <w:lastRenderedPageBreak/>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O M P E T I T I V I D A D </w:t>
            </w:r>
          </w:p>
        </w:tc>
      </w:tr>
      <w:tr w:rsidR="00332355" w:rsidRPr="00C01A7A" w14:paraId="457C4C08" w14:textId="77777777" w:rsidTr="001C4590">
        <w:trPr>
          <w:jc w:val="center"/>
        </w:trPr>
        <w:tc>
          <w:tcPr>
            <w:tcW w:w="3369" w:type="dxa"/>
            <w:shd w:val="clear" w:color="auto" w:fill="auto"/>
          </w:tcPr>
          <w:p w14:paraId="58D67CCE" w14:textId="77777777" w:rsidR="00332355" w:rsidRPr="00C01A7A" w:rsidRDefault="00332355" w:rsidP="001C4590">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1C4590">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1C4590">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1C4590">
            <w:pPr>
              <w:jc w:val="center"/>
              <w:rPr>
                <w:rFonts w:ascii="Arial" w:hAnsi="Arial" w:cs="Arial"/>
              </w:rPr>
            </w:pPr>
            <w:r w:rsidRPr="00C01A7A">
              <w:rPr>
                <w:rFonts w:ascii="Arial" w:hAnsi="Arial" w:cs="Arial"/>
                <w:b/>
              </w:rPr>
              <w:t>Comunidad Indígena</w:t>
            </w:r>
          </w:p>
        </w:tc>
      </w:tr>
      <w:tr w:rsidR="00332355" w:rsidRPr="00C01A7A" w14:paraId="2101BE59" w14:textId="77777777" w:rsidTr="001C4590">
        <w:trPr>
          <w:jc w:val="center"/>
        </w:trPr>
        <w:tc>
          <w:tcPr>
            <w:tcW w:w="3369" w:type="dxa"/>
            <w:shd w:val="clear" w:color="auto" w:fill="auto"/>
          </w:tcPr>
          <w:p w14:paraId="4C7D9C15"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1C4590">
        <w:trPr>
          <w:jc w:val="center"/>
        </w:trPr>
        <w:tc>
          <w:tcPr>
            <w:tcW w:w="3369" w:type="dxa"/>
            <w:shd w:val="clear" w:color="auto" w:fill="auto"/>
          </w:tcPr>
          <w:p w14:paraId="5AF02682" w14:textId="77777777" w:rsidR="00332355" w:rsidRPr="00C01A7A" w:rsidRDefault="00332355" w:rsidP="001C4590">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1C4590">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1C4590">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1C4590">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1C4590">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59D5D89A"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1D49A5EC" w14:textId="77777777" w:rsidR="00332355" w:rsidRPr="00C01A7A"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1C4590">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1C4590">
            <w:pPr>
              <w:ind w:left="292"/>
              <w:jc w:val="both"/>
              <w:rPr>
                <w:rFonts w:ascii="Arial" w:hAnsi="Arial" w:cs="Arial"/>
                <w:sz w:val="20"/>
                <w:szCs w:val="20"/>
              </w:rPr>
            </w:pPr>
          </w:p>
          <w:p w14:paraId="6D08CEB9" w14:textId="77777777" w:rsidR="00332355" w:rsidRPr="00C01A7A" w:rsidRDefault="00332355" w:rsidP="001C4590">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28E5E9E"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1C4590">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1C4590">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61844ECA" w14:textId="77777777" w:rsidR="00332355" w:rsidRDefault="00332355" w:rsidP="00332355">
      <w:pPr>
        <w:ind w:left="708"/>
        <w:jc w:val="center"/>
        <w:rPr>
          <w:rFonts w:ascii="Arial" w:hAnsi="Arial" w:cs="Arial"/>
          <w:b/>
        </w:rPr>
      </w:pPr>
    </w:p>
    <w:p w14:paraId="2BCF8542" w14:textId="77777777" w:rsidR="00332355" w:rsidRDefault="00332355" w:rsidP="00332355">
      <w:pPr>
        <w:ind w:left="708"/>
        <w:jc w:val="center"/>
        <w:rPr>
          <w:rFonts w:ascii="Arial" w:hAnsi="Arial" w:cs="Arial"/>
          <w:b/>
        </w:rPr>
      </w:pPr>
    </w:p>
    <w:p w14:paraId="53380D2B" w14:textId="77777777" w:rsidR="00332355" w:rsidRDefault="00332355" w:rsidP="00332355">
      <w:pPr>
        <w:ind w:left="708"/>
        <w:jc w:val="cente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7D67689F" w14:textId="77777777" w:rsidR="00332355" w:rsidRPr="00C01A7A" w:rsidRDefault="00332355" w:rsidP="00332355">
      <w:pPr>
        <w:ind w:left="708"/>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r w:rsidRPr="00C01A7A">
        <w:rPr>
          <w:rFonts w:ascii="Arial" w:hAnsi="Arial" w:cs="Arial"/>
          <w:b/>
        </w:rPr>
        <w:t xml:space="preserve"> </w:t>
      </w:r>
    </w:p>
    <w:p w14:paraId="0325A722" w14:textId="77777777" w:rsidR="00332355" w:rsidRDefault="00332355" w:rsidP="00332355">
      <w:pPr>
        <w:ind w:left="708"/>
        <w:jc w:val="both"/>
        <w:rPr>
          <w:rFonts w:ascii="Arial" w:hAnsi="Arial" w:cs="Arial"/>
          <w:b/>
        </w:rPr>
      </w:pP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lastRenderedPageBreak/>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1C4590">
        <w:trPr>
          <w:jc w:val="center"/>
        </w:trPr>
        <w:tc>
          <w:tcPr>
            <w:tcW w:w="13717" w:type="dxa"/>
            <w:gridSpan w:val="4"/>
            <w:shd w:val="clear" w:color="auto" w:fill="auto"/>
          </w:tcPr>
          <w:p w14:paraId="59A875C9" w14:textId="77777777" w:rsidR="00332355" w:rsidRPr="00C01A7A" w:rsidRDefault="00332355" w:rsidP="001C4590">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R E C I M I E N T O   S U S T E N T A B L E </w:t>
            </w:r>
          </w:p>
        </w:tc>
      </w:tr>
      <w:tr w:rsidR="00332355" w:rsidRPr="00C01A7A" w14:paraId="282047AA" w14:textId="77777777" w:rsidTr="001C4590">
        <w:trPr>
          <w:jc w:val="center"/>
        </w:trPr>
        <w:tc>
          <w:tcPr>
            <w:tcW w:w="3369" w:type="dxa"/>
            <w:shd w:val="clear" w:color="auto" w:fill="auto"/>
          </w:tcPr>
          <w:p w14:paraId="6B60E605" w14:textId="77777777" w:rsidR="00332355" w:rsidRPr="00C01A7A" w:rsidRDefault="00332355" w:rsidP="001C4590">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1C4590">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1C4590">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1C4590">
            <w:pPr>
              <w:jc w:val="center"/>
              <w:rPr>
                <w:rFonts w:ascii="Arial" w:hAnsi="Arial" w:cs="Arial"/>
              </w:rPr>
            </w:pPr>
            <w:r w:rsidRPr="00C01A7A">
              <w:rPr>
                <w:rFonts w:ascii="Arial" w:hAnsi="Arial" w:cs="Arial"/>
                <w:b/>
              </w:rPr>
              <w:t>Desarrollo Minero</w:t>
            </w:r>
          </w:p>
        </w:tc>
      </w:tr>
      <w:tr w:rsidR="00332355" w:rsidRPr="00C01A7A" w14:paraId="7917762F" w14:textId="77777777" w:rsidTr="001C4590">
        <w:trPr>
          <w:jc w:val="center"/>
        </w:trPr>
        <w:tc>
          <w:tcPr>
            <w:tcW w:w="3369" w:type="dxa"/>
            <w:shd w:val="clear" w:color="auto" w:fill="auto"/>
          </w:tcPr>
          <w:p w14:paraId="796A062B"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1C4590">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1C4590">
        <w:trPr>
          <w:jc w:val="center"/>
        </w:trPr>
        <w:tc>
          <w:tcPr>
            <w:tcW w:w="3369" w:type="dxa"/>
            <w:shd w:val="clear" w:color="auto" w:fill="auto"/>
          </w:tcPr>
          <w:p w14:paraId="141DDB0B"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w:t>
            </w:r>
            <w:r w:rsidRPr="00C01A7A">
              <w:rPr>
                <w:rFonts w:ascii="Arial" w:hAnsi="Arial" w:cs="Arial"/>
                <w:sz w:val="20"/>
                <w:szCs w:val="20"/>
              </w:rPr>
              <w:lastRenderedPageBreak/>
              <w:t xml:space="preserve">salubridad, higiene, seguridad y protección civil. </w:t>
            </w:r>
          </w:p>
          <w:p w14:paraId="545A3EE1"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1C4590">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4AB353F6"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5CA8E852"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1C4590">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w:t>
            </w:r>
            <w:r w:rsidRPr="00C01A7A">
              <w:rPr>
                <w:rFonts w:ascii="Arial" w:hAnsi="Arial" w:cs="Arial"/>
                <w:sz w:val="20"/>
                <w:szCs w:val="20"/>
              </w:rPr>
              <w:lastRenderedPageBreak/>
              <w:t>en concurrencia y coordinación con dependencias e Instituciones de los tres niveles de gobierno.</w:t>
            </w:r>
          </w:p>
          <w:p w14:paraId="3B9DAB84"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w:t>
            </w:r>
            <w:r w:rsidRPr="00C01A7A">
              <w:rPr>
                <w:rFonts w:ascii="Arial" w:hAnsi="Arial" w:cs="Arial"/>
                <w:sz w:val="20"/>
                <w:szCs w:val="20"/>
              </w:rPr>
              <w:lastRenderedPageBreak/>
              <w:t>encadenas de valor con mayor valor agregado.</w:t>
            </w:r>
          </w:p>
          <w:p w14:paraId="7FA119AC"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1C4590">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6"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6"/>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 xml:space="preserve">L.C. Alma Gabriela </w:t>
            </w:r>
            <w:proofErr w:type="spellStart"/>
            <w:r>
              <w:rPr>
                <w:rFonts w:ascii="Arial" w:hAnsi="Arial" w:cs="Arial"/>
                <w:b/>
              </w:rPr>
              <w:t>Agúndez</w:t>
            </w:r>
            <w:proofErr w:type="spellEnd"/>
            <w:r>
              <w:rPr>
                <w:rFonts w:ascii="Arial" w:hAnsi="Arial" w:cs="Arial"/>
                <w:b/>
              </w:rPr>
              <w:t xml:space="preserve">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453BB5">
      <w:type w:val="continuous"/>
      <w:pgSz w:w="15840" w:h="12240" w:orient="landscape"/>
      <w:pgMar w:top="2200" w:right="941"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E23F" w14:textId="77777777" w:rsidR="00CE7790" w:rsidRDefault="00CE7790">
      <w:r>
        <w:separator/>
      </w:r>
    </w:p>
  </w:endnote>
  <w:endnote w:type="continuationSeparator" w:id="0">
    <w:p w14:paraId="20C0D58A" w14:textId="77777777" w:rsidR="00CE7790" w:rsidRDefault="00CE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1836" w14:textId="77777777" w:rsidR="00F0113E" w:rsidRDefault="00F0113E">
    <w:pPr>
      <w:pStyle w:val="Textoindependiente"/>
      <w:spacing w:line="14" w:lineRule="auto"/>
      <w:rPr>
        <w:sz w:val="20"/>
      </w:rPr>
    </w:pPr>
    <w:r>
      <w:rPr>
        <w:noProof/>
        <w:lang w:val="en-US"/>
      </w:rPr>
      <mc:AlternateContent>
        <mc:Choice Requires="wps">
          <w:drawing>
            <wp:anchor distT="0" distB="0" distL="114300" distR="114300" simplePos="0" relativeHeight="487220224" behindDoc="1" locked="0" layoutInCell="1" allowOverlap="1" wp14:anchorId="08CF0801" wp14:editId="0972D2B4">
              <wp:simplePos x="0" y="0"/>
              <wp:positionH relativeFrom="page">
                <wp:posOffset>666115</wp:posOffset>
              </wp:positionH>
              <wp:positionV relativeFrom="page">
                <wp:posOffset>7144385</wp:posOffset>
              </wp:positionV>
              <wp:extent cx="8729345" cy="635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9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3C80" id="Rectangle 6" o:spid="_x0000_s1026" style="position:absolute;margin-left:52.45pt;margin-top:562.55pt;width:687.35pt;height:.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t6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" fillcolor="black" stroked="f">
              <w10:wrap anchorx="page" anchory="page"/>
            </v:rect>
          </w:pict>
        </mc:Fallback>
      </mc:AlternateContent>
    </w:r>
    <w:r>
      <w:rPr>
        <w:noProof/>
        <w:lang w:val="en-US"/>
      </w:rPr>
      <mc:AlternateContent>
        <mc:Choice Requires="wps">
          <w:drawing>
            <wp:anchor distT="0" distB="0" distL="114300" distR="114300" simplePos="0" relativeHeight="487220736" behindDoc="1" locked="0" layoutInCell="1" allowOverlap="1" wp14:anchorId="1509E9AF" wp14:editId="38568B15">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76DDE264" w:rsidR="00F0113E" w:rsidRDefault="00F0113E">
                          <w:pPr>
                            <w:pStyle w:val="Textoindependiente"/>
                            <w:spacing w:before="13"/>
                            <w:ind w:left="20"/>
                          </w:pPr>
                          <w:r>
                            <w:t>Contable</w:t>
                          </w:r>
                          <w:r>
                            <w:rPr>
                              <w:spacing w:val="2"/>
                            </w:rPr>
                            <w:t xml:space="preserve"> </w:t>
                          </w:r>
                          <w:r>
                            <w:fldChar w:fldCharType="begin"/>
                          </w:r>
                          <w:r>
                            <w:instrText xml:space="preserve"> PAGE </w:instrText>
                          </w:r>
                          <w:r>
                            <w:fldChar w:fldCharType="separate"/>
                          </w:r>
                          <w:r w:rsidR="006B3287">
                            <w:rPr>
                              <w:noProof/>
                            </w:rPr>
                            <w:t>1</w:t>
                          </w:r>
                          <w:r>
                            <w:fldChar w:fldCharType="end"/>
                          </w:r>
                          <w:r>
                            <w:rPr>
                              <w:spacing w:val="-3"/>
                            </w:rPr>
                            <w:t xml:space="preserve"> </w:t>
                          </w:r>
                          <w:r>
                            <w:t>/</w:t>
                          </w:r>
                          <w:r>
                            <w:rPr>
                              <w:spacing w:val="-1"/>
                            </w:rPr>
                            <w:t xml:space="preserve"> </w:t>
                          </w:r>
                          <w:r w:rsidR="00332355">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OX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" filled="f" stroked="f">
              <v:textbox inset="0,0,0,0">
                <w:txbxContent>
                  <w:p w14:paraId="459114CF" w14:textId="76DDE264" w:rsidR="00F0113E" w:rsidRDefault="00F0113E">
                    <w:pPr>
                      <w:pStyle w:val="Textoindependiente"/>
                      <w:spacing w:before="13"/>
                      <w:ind w:left="20"/>
                    </w:pPr>
                    <w:r>
                      <w:t>Contable</w:t>
                    </w:r>
                    <w:r>
                      <w:rPr>
                        <w:spacing w:val="2"/>
                      </w:rPr>
                      <w:t xml:space="preserve"> </w:t>
                    </w:r>
                    <w:r>
                      <w:fldChar w:fldCharType="begin"/>
                    </w:r>
                    <w:r>
                      <w:instrText xml:space="preserve"> PAGE </w:instrText>
                    </w:r>
                    <w:r>
                      <w:fldChar w:fldCharType="separate"/>
                    </w:r>
                    <w:r w:rsidR="006B3287">
                      <w:rPr>
                        <w:noProof/>
                      </w:rPr>
                      <w:t>1</w:t>
                    </w:r>
                    <w:r>
                      <w:fldChar w:fldCharType="end"/>
                    </w:r>
                    <w:r>
                      <w:rPr>
                        <w:spacing w:val="-3"/>
                      </w:rPr>
                      <w:t xml:space="preserve"> </w:t>
                    </w:r>
                    <w:r>
                      <w:t>/</w:t>
                    </w:r>
                    <w:r>
                      <w:rPr>
                        <w:spacing w:val="-1"/>
                      </w:rPr>
                      <w:t xml:space="preserve"> </w:t>
                    </w:r>
                    <w:r w:rsidR="00332355">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8851" w14:textId="53378799" w:rsidR="00F0113E" w:rsidRDefault="00F0113E">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6B3287">
      <w:rPr>
        <w:noProof/>
        <w:color w:val="4F81BD" w:themeColor="accent1"/>
      </w:rPr>
      <w:t>21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6B3287">
      <w:rPr>
        <w:noProof/>
        <w:color w:val="4F81BD" w:themeColor="accent1"/>
      </w:rPr>
      <w:t>29</w:t>
    </w:r>
    <w:r>
      <w:rPr>
        <w:color w:val="4F81BD" w:themeColor="accent1"/>
      </w:rPr>
      <w:fldChar w:fldCharType="end"/>
    </w:r>
  </w:p>
  <w:p w14:paraId="773B066C" w14:textId="270918EB" w:rsidR="00F0113E" w:rsidRDefault="00F0113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B6BA7" w14:textId="77777777" w:rsidR="00CE7790" w:rsidRDefault="00CE7790">
      <w:r>
        <w:separator/>
      </w:r>
    </w:p>
  </w:footnote>
  <w:footnote w:type="continuationSeparator" w:id="0">
    <w:p w14:paraId="5556F44B" w14:textId="77777777" w:rsidR="00CE7790" w:rsidRDefault="00CE7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D693" w14:textId="2D20C33C" w:rsidR="00F0113E" w:rsidRPr="00F0113E" w:rsidRDefault="00F0113E" w:rsidP="00F0113E">
    <w:pPr>
      <w:pStyle w:val="Encabezado"/>
      <w:pBdr>
        <w:bottom w:val="single" w:sz="4" w:space="1" w:color="auto"/>
      </w:pBdr>
    </w:pPr>
    <w:r>
      <w:rPr>
        <w:noProof/>
        <w:lang w:val="en-US"/>
      </w:rPr>
      <w:drawing>
        <wp:inline distT="0" distB="0" distL="0" distR="0" wp14:anchorId="5CEEA378" wp14:editId="4A022828">
          <wp:extent cx="3756660" cy="845820"/>
          <wp:effectExtent l="0" t="0" r="0" b="0"/>
          <wp:docPr id="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B2C2" w14:textId="77777777" w:rsidR="00F0113E" w:rsidRPr="00510A11" w:rsidRDefault="00F0113E" w:rsidP="00332355">
    <w:pPr>
      <w:pStyle w:val="Encabezado"/>
      <w:pBdr>
        <w:bottom w:val="single" w:sz="4" w:space="1" w:color="auto"/>
      </w:pBdr>
    </w:pPr>
    <w:r>
      <w:rPr>
        <w:noProof/>
        <w:lang w:val="en-US"/>
      </w:rPr>
      <w:drawing>
        <wp:inline distT="0" distB="0" distL="0" distR="0" wp14:anchorId="6B227A6B" wp14:editId="24BF5A40">
          <wp:extent cx="3756660" cy="845820"/>
          <wp:effectExtent l="0" t="0" r="0" b="0"/>
          <wp:docPr id="4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5"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9"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11"/>
  </w:num>
  <w:num w:numId="6">
    <w:abstractNumId w:val="10"/>
  </w:num>
  <w:num w:numId="7">
    <w:abstractNumId w:val="0"/>
  </w:num>
  <w:num w:numId="8">
    <w:abstractNumId w:val="3"/>
  </w:num>
  <w:num w:numId="9">
    <w:abstractNumId w:val="12"/>
  </w:num>
  <w:num w:numId="10">
    <w:abstractNumId w:val="9"/>
  </w:num>
  <w:num w:numId="11">
    <w:abstractNumId w:val="14"/>
  </w:num>
  <w:num w:numId="12">
    <w:abstractNumId w:val="13"/>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57"/>
    <w:rsid w:val="000010B3"/>
    <w:rsid w:val="00004010"/>
    <w:rsid w:val="000062DA"/>
    <w:rsid w:val="00015588"/>
    <w:rsid w:val="00022AB9"/>
    <w:rsid w:val="000236C5"/>
    <w:rsid w:val="0003791C"/>
    <w:rsid w:val="0005188D"/>
    <w:rsid w:val="00055F2F"/>
    <w:rsid w:val="00083D85"/>
    <w:rsid w:val="000850E7"/>
    <w:rsid w:val="00085CF4"/>
    <w:rsid w:val="000A329B"/>
    <w:rsid w:val="000A5EA7"/>
    <w:rsid w:val="000B44A2"/>
    <w:rsid w:val="000C52B4"/>
    <w:rsid w:val="000C7616"/>
    <w:rsid w:val="000D6E10"/>
    <w:rsid w:val="000E2E42"/>
    <w:rsid w:val="000E595B"/>
    <w:rsid w:val="0010045F"/>
    <w:rsid w:val="00105FE1"/>
    <w:rsid w:val="00117BF9"/>
    <w:rsid w:val="00125237"/>
    <w:rsid w:val="00130F26"/>
    <w:rsid w:val="00135CB6"/>
    <w:rsid w:val="00137008"/>
    <w:rsid w:val="001436FC"/>
    <w:rsid w:val="00152C69"/>
    <w:rsid w:val="00154A5E"/>
    <w:rsid w:val="0015722B"/>
    <w:rsid w:val="00160663"/>
    <w:rsid w:val="00166026"/>
    <w:rsid w:val="00166262"/>
    <w:rsid w:val="00170942"/>
    <w:rsid w:val="00170A93"/>
    <w:rsid w:val="0017179E"/>
    <w:rsid w:val="00174D97"/>
    <w:rsid w:val="00174F35"/>
    <w:rsid w:val="00183C06"/>
    <w:rsid w:val="00193CA9"/>
    <w:rsid w:val="001A5B9A"/>
    <w:rsid w:val="001B78B3"/>
    <w:rsid w:val="001C5CB5"/>
    <w:rsid w:val="001D53D1"/>
    <w:rsid w:val="001D6A6C"/>
    <w:rsid w:val="001D72AA"/>
    <w:rsid w:val="001E124B"/>
    <w:rsid w:val="001F1956"/>
    <w:rsid w:val="001F1B26"/>
    <w:rsid w:val="001F3520"/>
    <w:rsid w:val="0021019F"/>
    <w:rsid w:val="00214357"/>
    <w:rsid w:val="00217EEE"/>
    <w:rsid w:val="002239A7"/>
    <w:rsid w:val="002248A7"/>
    <w:rsid w:val="0023524C"/>
    <w:rsid w:val="00237551"/>
    <w:rsid w:val="00245F80"/>
    <w:rsid w:val="002479F2"/>
    <w:rsid w:val="002537DD"/>
    <w:rsid w:val="0026686F"/>
    <w:rsid w:val="002771B1"/>
    <w:rsid w:val="002B0EBA"/>
    <w:rsid w:val="002B3D50"/>
    <w:rsid w:val="002B56B9"/>
    <w:rsid w:val="002B73F4"/>
    <w:rsid w:val="002C1F4E"/>
    <w:rsid w:val="002E43B7"/>
    <w:rsid w:val="002E764C"/>
    <w:rsid w:val="003007B8"/>
    <w:rsid w:val="0030111F"/>
    <w:rsid w:val="0032159B"/>
    <w:rsid w:val="0032272B"/>
    <w:rsid w:val="00332355"/>
    <w:rsid w:val="00332D1D"/>
    <w:rsid w:val="0034009D"/>
    <w:rsid w:val="00354A9B"/>
    <w:rsid w:val="003817D9"/>
    <w:rsid w:val="00396356"/>
    <w:rsid w:val="00397119"/>
    <w:rsid w:val="003A2550"/>
    <w:rsid w:val="003B1A21"/>
    <w:rsid w:val="003B1C70"/>
    <w:rsid w:val="003C0E46"/>
    <w:rsid w:val="003D3A7F"/>
    <w:rsid w:val="003D6BEB"/>
    <w:rsid w:val="003E6B7E"/>
    <w:rsid w:val="003F1AA2"/>
    <w:rsid w:val="0040302D"/>
    <w:rsid w:val="004053B0"/>
    <w:rsid w:val="00410558"/>
    <w:rsid w:val="00413832"/>
    <w:rsid w:val="00414C79"/>
    <w:rsid w:val="0043553C"/>
    <w:rsid w:val="00440315"/>
    <w:rsid w:val="00442285"/>
    <w:rsid w:val="00444F1A"/>
    <w:rsid w:val="00453BB5"/>
    <w:rsid w:val="0046751A"/>
    <w:rsid w:val="00484516"/>
    <w:rsid w:val="00491C0C"/>
    <w:rsid w:val="004B2C0C"/>
    <w:rsid w:val="004B2FD5"/>
    <w:rsid w:val="004C7014"/>
    <w:rsid w:val="004D1958"/>
    <w:rsid w:val="004E2E10"/>
    <w:rsid w:val="004E72C8"/>
    <w:rsid w:val="00502A5D"/>
    <w:rsid w:val="00510A11"/>
    <w:rsid w:val="0051542A"/>
    <w:rsid w:val="00523C5E"/>
    <w:rsid w:val="00552EC7"/>
    <w:rsid w:val="00556397"/>
    <w:rsid w:val="00563A26"/>
    <w:rsid w:val="00573798"/>
    <w:rsid w:val="00583C52"/>
    <w:rsid w:val="00590462"/>
    <w:rsid w:val="00591A5F"/>
    <w:rsid w:val="005A3AEB"/>
    <w:rsid w:val="005B4D54"/>
    <w:rsid w:val="005B4E95"/>
    <w:rsid w:val="005B6403"/>
    <w:rsid w:val="005C64FF"/>
    <w:rsid w:val="005D22F2"/>
    <w:rsid w:val="005D261D"/>
    <w:rsid w:val="005D3FB1"/>
    <w:rsid w:val="005D5B68"/>
    <w:rsid w:val="005E04A8"/>
    <w:rsid w:val="005E2426"/>
    <w:rsid w:val="005E4018"/>
    <w:rsid w:val="005F1E3A"/>
    <w:rsid w:val="005F51F8"/>
    <w:rsid w:val="005F725B"/>
    <w:rsid w:val="00600B13"/>
    <w:rsid w:val="00624C9E"/>
    <w:rsid w:val="00635401"/>
    <w:rsid w:val="0064061C"/>
    <w:rsid w:val="00643897"/>
    <w:rsid w:val="00645260"/>
    <w:rsid w:val="006474CF"/>
    <w:rsid w:val="006477C5"/>
    <w:rsid w:val="0065346E"/>
    <w:rsid w:val="00653692"/>
    <w:rsid w:val="00655257"/>
    <w:rsid w:val="00662875"/>
    <w:rsid w:val="006645EF"/>
    <w:rsid w:val="0068060A"/>
    <w:rsid w:val="006873D1"/>
    <w:rsid w:val="00687BD4"/>
    <w:rsid w:val="0069553B"/>
    <w:rsid w:val="00697612"/>
    <w:rsid w:val="006A198F"/>
    <w:rsid w:val="006B3287"/>
    <w:rsid w:val="006D15DB"/>
    <w:rsid w:val="006D21BB"/>
    <w:rsid w:val="006D3AF8"/>
    <w:rsid w:val="006D6706"/>
    <w:rsid w:val="006E6423"/>
    <w:rsid w:val="006F13B2"/>
    <w:rsid w:val="006F3377"/>
    <w:rsid w:val="007051E1"/>
    <w:rsid w:val="00773F5B"/>
    <w:rsid w:val="007808DB"/>
    <w:rsid w:val="0078154A"/>
    <w:rsid w:val="00783400"/>
    <w:rsid w:val="00797255"/>
    <w:rsid w:val="007B51A9"/>
    <w:rsid w:val="007B550F"/>
    <w:rsid w:val="007C6513"/>
    <w:rsid w:val="007E0C60"/>
    <w:rsid w:val="007E5DF5"/>
    <w:rsid w:val="008001D4"/>
    <w:rsid w:val="00804900"/>
    <w:rsid w:val="0080597E"/>
    <w:rsid w:val="00825377"/>
    <w:rsid w:val="008276E5"/>
    <w:rsid w:val="00844F87"/>
    <w:rsid w:val="00860887"/>
    <w:rsid w:val="00862911"/>
    <w:rsid w:val="0086732A"/>
    <w:rsid w:val="00877BCE"/>
    <w:rsid w:val="0088403B"/>
    <w:rsid w:val="00886ED0"/>
    <w:rsid w:val="00887A81"/>
    <w:rsid w:val="00891147"/>
    <w:rsid w:val="00893E67"/>
    <w:rsid w:val="008A05D0"/>
    <w:rsid w:val="008A5BB2"/>
    <w:rsid w:val="008C0554"/>
    <w:rsid w:val="008D2448"/>
    <w:rsid w:val="008D2CED"/>
    <w:rsid w:val="008D4126"/>
    <w:rsid w:val="008D51C3"/>
    <w:rsid w:val="008D5DC6"/>
    <w:rsid w:val="008E0F07"/>
    <w:rsid w:val="008E1F75"/>
    <w:rsid w:val="008E6265"/>
    <w:rsid w:val="008E6F98"/>
    <w:rsid w:val="008F3B21"/>
    <w:rsid w:val="0090543C"/>
    <w:rsid w:val="0092330A"/>
    <w:rsid w:val="0092783C"/>
    <w:rsid w:val="00937BD6"/>
    <w:rsid w:val="00941060"/>
    <w:rsid w:val="00945332"/>
    <w:rsid w:val="009474EC"/>
    <w:rsid w:val="0095179E"/>
    <w:rsid w:val="00956474"/>
    <w:rsid w:val="009634FD"/>
    <w:rsid w:val="00963927"/>
    <w:rsid w:val="00970593"/>
    <w:rsid w:val="0097485D"/>
    <w:rsid w:val="0098157C"/>
    <w:rsid w:val="00984F32"/>
    <w:rsid w:val="00992252"/>
    <w:rsid w:val="009931A0"/>
    <w:rsid w:val="00997ED3"/>
    <w:rsid w:val="009A1A61"/>
    <w:rsid w:val="009C2613"/>
    <w:rsid w:val="009C4FA6"/>
    <w:rsid w:val="009D72E4"/>
    <w:rsid w:val="009E579B"/>
    <w:rsid w:val="009F34C6"/>
    <w:rsid w:val="00A15573"/>
    <w:rsid w:val="00A17073"/>
    <w:rsid w:val="00A17D6E"/>
    <w:rsid w:val="00A25F0B"/>
    <w:rsid w:val="00A3325B"/>
    <w:rsid w:val="00A3350C"/>
    <w:rsid w:val="00A35D0A"/>
    <w:rsid w:val="00A43F23"/>
    <w:rsid w:val="00A4629D"/>
    <w:rsid w:val="00A46B0B"/>
    <w:rsid w:val="00A60E0E"/>
    <w:rsid w:val="00A63E03"/>
    <w:rsid w:val="00A65629"/>
    <w:rsid w:val="00A8476A"/>
    <w:rsid w:val="00AA07E7"/>
    <w:rsid w:val="00AA187D"/>
    <w:rsid w:val="00AB2608"/>
    <w:rsid w:val="00B3442D"/>
    <w:rsid w:val="00B75E5C"/>
    <w:rsid w:val="00B92B10"/>
    <w:rsid w:val="00B9414B"/>
    <w:rsid w:val="00B9634E"/>
    <w:rsid w:val="00B9782D"/>
    <w:rsid w:val="00BA0D30"/>
    <w:rsid w:val="00BA586E"/>
    <w:rsid w:val="00BB3405"/>
    <w:rsid w:val="00BC289C"/>
    <w:rsid w:val="00BD14B1"/>
    <w:rsid w:val="00BF017E"/>
    <w:rsid w:val="00C072E6"/>
    <w:rsid w:val="00C33190"/>
    <w:rsid w:val="00C468DE"/>
    <w:rsid w:val="00C5080B"/>
    <w:rsid w:val="00C50AC6"/>
    <w:rsid w:val="00C6019E"/>
    <w:rsid w:val="00C60AAA"/>
    <w:rsid w:val="00C61393"/>
    <w:rsid w:val="00C71BB6"/>
    <w:rsid w:val="00C858AE"/>
    <w:rsid w:val="00C910DC"/>
    <w:rsid w:val="00C937B6"/>
    <w:rsid w:val="00CA26D0"/>
    <w:rsid w:val="00CA6978"/>
    <w:rsid w:val="00CC5C95"/>
    <w:rsid w:val="00CE1A3C"/>
    <w:rsid w:val="00CE726E"/>
    <w:rsid w:val="00CE7790"/>
    <w:rsid w:val="00CE7825"/>
    <w:rsid w:val="00CF43DB"/>
    <w:rsid w:val="00D20B3E"/>
    <w:rsid w:val="00D45518"/>
    <w:rsid w:val="00D53BCA"/>
    <w:rsid w:val="00D63797"/>
    <w:rsid w:val="00D6798E"/>
    <w:rsid w:val="00D75FD6"/>
    <w:rsid w:val="00D777A2"/>
    <w:rsid w:val="00D80802"/>
    <w:rsid w:val="00D867A8"/>
    <w:rsid w:val="00DA105B"/>
    <w:rsid w:val="00DB3AD4"/>
    <w:rsid w:val="00DB41EE"/>
    <w:rsid w:val="00DB674F"/>
    <w:rsid w:val="00DC121F"/>
    <w:rsid w:val="00DC54ED"/>
    <w:rsid w:val="00DC5CFF"/>
    <w:rsid w:val="00DE30BB"/>
    <w:rsid w:val="00DF1CB0"/>
    <w:rsid w:val="00E00448"/>
    <w:rsid w:val="00E042D2"/>
    <w:rsid w:val="00E30A57"/>
    <w:rsid w:val="00E316A0"/>
    <w:rsid w:val="00E32CDA"/>
    <w:rsid w:val="00E32F01"/>
    <w:rsid w:val="00E34161"/>
    <w:rsid w:val="00E462AF"/>
    <w:rsid w:val="00E63A9D"/>
    <w:rsid w:val="00E70A89"/>
    <w:rsid w:val="00E77A49"/>
    <w:rsid w:val="00EB140F"/>
    <w:rsid w:val="00EB2AAC"/>
    <w:rsid w:val="00EB5900"/>
    <w:rsid w:val="00ED38E3"/>
    <w:rsid w:val="00ED6901"/>
    <w:rsid w:val="00EF1867"/>
    <w:rsid w:val="00F0113E"/>
    <w:rsid w:val="00F03BAC"/>
    <w:rsid w:val="00F15D75"/>
    <w:rsid w:val="00F17DE8"/>
    <w:rsid w:val="00F2157C"/>
    <w:rsid w:val="00F26F74"/>
    <w:rsid w:val="00F3718E"/>
    <w:rsid w:val="00F46BF9"/>
    <w:rsid w:val="00F55DE6"/>
    <w:rsid w:val="00F65516"/>
    <w:rsid w:val="00F664BB"/>
    <w:rsid w:val="00F72F7B"/>
    <w:rsid w:val="00F7755A"/>
    <w:rsid w:val="00F95DFE"/>
    <w:rsid w:val="00FA0235"/>
    <w:rsid w:val="00FA39CC"/>
    <w:rsid w:val="00FB377E"/>
    <w:rsid w:val="00FB69E3"/>
    <w:rsid w:val="00FC2C34"/>
    <w:rsid w:val="00FC687E"/>
    <w:rsid w:val="00FD2EE8"/>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7F95"/>
  <w15:docId w15:val="{1A44C43E-CB44-4B76-B4FB-093B0D2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C009-9643-46E1-8B61-A51AB8B2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8891</Words>
  <Characters>50679</Characters>
  <Application>Microsoft Office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2</cp:revision>
  <cp:lastPrinted>2023-04-24T23:29:00Z</cp:lastPrinted>
  <dcterms:created xsi:type="dcterms:W3CDTF">2023-04-24T23:56:00Z</dcterms:created>
  <dcterms:modified xsi:type="dcterms:W3CDTF">2023-04-24T23:56:00Z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